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680" w:leftChars="800" w:firstLine="602" w:firstLineChars="200"/>
        <w:jc w:val="both"/>
        <w:rPr>
          <w:rFonts w:hint="eastAsia" w:eastAsia="宋体"/>
          <w:b/>
          <w:bCs/>
          <w:color w:val="FF0000"/>
          <w:sz w:val="24"/>
          <w:szCs w:val="24"/>
          <w:lang w:val="en-US" w:eastAsia="zh-CN"/>
        </w:rPr>
      </w:pPr>
      <w:r>
        <w:rPr>
          <w:rFonts w:hint="eastAsia"/>
          <w:b/>
          <w:bCs/>
          <w:color w:val="FF0000"/>
          <w:sz w:val="30"/>
          <w:szCs w:val="30"/>
          <w:lang w:val="en-US" w:eastAsia="zh-CN"/>
        </w:rPr>
        <w:t>企虎</w:t>
      </w:r>
      <w:r>
        <w:rPr>
          <w:rFonts w:hint="eastAsia"/>
          <w:b/>
          <w:bCs/>
          <w:color w:val="FF0000"/>
          <w:sz w:val="30"/>
          <w:szCs w:val="30"/>
          <w:lang w:eastAsia="zh-CN"/>
        </w:rPr>
        <w:t>外贸企业综合台账管理系统</w:t>
      </w:r>
    </w:p>
    <w:p>
      <w:pPr>
        <w:rPr>
          <w:rFonts w:hint="eastAsia"/>
          <w:color w:val="000000"/>
          <w:lang w:eastAsia="zh-CN"/>
        </w:rPr>
      </w:pPr>
      <w:r>
        <w:rPr>
          <w:rFonts w:hint="eastAsia"/>
          <w:color w:val="000000"/>
          <w:lang w:eastAsia="zh-CN"/>
        </w:rPr>
        <w:t>企虎外贸企业台账数据综合管理；全员协作，按年封存，数据权限严格灵活控制，台账相关字段公式智能计算，软件可运行于单机，网络，平板和手机端，让公司员工随时随地无忧办公，企业领导及时把握企业核心运营数据；</w:t>
      </w:r>
    </w:p>
    <w:p>
      <w:pPr>
        <w:pStyle w:val="2"/>
        <w:rPr>
          <w:rFonts w:hint="eastAsia"/>
          <w:color w:val="FF0000"/>
          <w:lang w:eastAsia="zh-CN"/>
        </w:rPr>
      </w:pPr>
      <w:r>
        <w:rPr>
          <w:rFonts w:hint="eastAsia"/>
          <w:color w:val="FF0000"/>
          <w:lang w:eastAsia="zh-CN"/>
        </w:rPr>
        <w:t>本软件提供单机版，局域网版，广域网版，支持</w:t>
      </w:r>
      <w:r>
        <w:rPr>
          <w:rFonts w:hint="eastAsia"/>
          <w:color w:val="FF0000"/>
          <w:lang w:val="en-US" w:eastAsia="zh-CN"/>
        </w:rPr>
        <w:t>PC，平板和</w:t>
      </w:r>
      <w:r>
        <w:rPr>
          <w:rFonts w:hint="eastAsia"/>
          <w:color w:val="FF0000"/>
          <w:lang w:eastAsia="zh-CN"/>
        </w:rPr>
        <w:t>手机端运行</w:t>
      </w:r>
    </w:p>
    <w:p>
      <w:pPr>
        <w:pStyle w:val="2"/>
        <w:rPr>
          <w:rFonts w:hint="eastAsia"/>
          <w:color w:val="FF0000"/>
          <w:lang w:eastAsia="zh-CN"/>
        </w:rPr>
      </w:pPr>
      <w:r>
        <w:rPr>
          <w:rFonts w:hint="eastAsia"/>
          <w:color w:val="FF0000"/>
          <w:lang w:eastAsia="zh-CN"/>
        </w:rPr>
        <w:t>软件具体功能介绍如下：</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不同年度台账数据存放于不同的数据库表中</w:t>
      </w:r>
      <w:r>
        <w:rPr>
          <w:rFonts w:hint="eastAsia" w:ascii="宋体" w:hAnsi="宋体"/>
          <w:sz w:val="18"/>
          <w:lang w:val="en-US" w:eastAsia="zh-CN"/>
        </w:rPr>
        <w:t>【数据可以按年封存，可以控制某年的数据不允许某些操作员查看】</w:t>
      </w:r>
    </w:p>
    <w:p>
      <w:pPr>
        <w:numPr>
          <w:ilvl w:val="0"/>
          <w:numId w:val="1"/>
        </w:numPr>
        <w:rPr>
          <w:rFonts w:hint="eastAsia" w:ascii="宋体" w:hAnsi="宋体"/>
          <w:b/>
          <w:bCs/>
          <w:color w:val="00B050"/>
          <w:sz w:val="18"/>
          <w:lang w:val="en-US" w:eastAsia="zh-CN"/>
        </w:rPr>
      </w:pPr>
      <w:r>
        <w:rPr>
          <w:rFonts w:hint="eastAsia" w:ascii="宋体" w:hAnsi="宋体"/>
          <w:b/>
          <w:bCs/>
          <w:color w:val="00B050"/>
          <w:sz w:val="18"/>
          <w:lang w:val="en-US" w:eastAsia="zh-CN"/>
        </w:rPr>
        <w:t>登录时根据公式自动计算逾期天数和业务计息字段信息</w:t>
      </w:r>
    </w:p>
    <w:p>
      <w:pPr>
        <w:numPr>
          <w:ilvl w:val="0"/>
          <w:numId w:val="1"/>
        </w:numPr>
        <w:rPr>
          <w:rFonts w:hint="eastAsia" w:ascii="宋体" w:hAnsi="宋体"/>
          <w:sz w:val="18"/>
          <w:lang w:val="en-US" w:eastAsia="zh-CN"/>
        </w:rPr>
      </w:pPr>
      <w:r>
        <w:rPr>
          <w:rFonts w:hint="eastAsia" w:ascii="宋体" w:hAnsi="宋体"/>
          <w:sz w:val="18"/>
          <w:lang w:val="en-US" w:eastAsia="zh-CN"/>
        </w:rPr>
        <w:t>业务员，物流派车员，物流单证员以及物流报检员只能看到自己有权看到的信息【即相应字段与自己名称想对应的台账记录信息】</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一键刷新如下字段合计</w:t>
      </w:r>
      <w:r>
        <w:rPr>
          <w:rFonts w:hint="eastAsia" w:ascii="宋体" w:hAnsi="宋体"/>
          <w:sz w:val="18"/>
          <w:lang w:val="en-US" w:eastAsia="zh-CN"/>
        </w:rPr>
        <w:t>：合同金额，cw佣金，预计海运费，港杂费，实际海运费，陆运费，装卸费，商检费，检测费，报关费，舱单费，报关金额，净报海运费，实际额，通知费，证书费，认证费，sgs费用，其他费用，海运费保险费，银行扣费交单，包装物，商品成本，净利润，理论扣款，实际扣款，应收余额，收汇金额1，收汇金额2，收汇金额3，收汇金额4，收汇手续费，提成1，提成2，佣金余额，业务计息，报关海运费，海运保险费，退税金额，合计毛利，加利余额，总量vgm，tt金额，提成3，付佣金额，扣公司，扣采购，扣业务，扣工厂，单据金额，购货金额，销售金额1，销售金额2，销售金额3，包干费，洗修箱费，低硫费，仓储费，冷库费，吊装费，倒箱费，装车费，附加费，关税，增值费，手续费，已付港杂费等字段</w:t>
      </w:r>
    </w:p>
    <w:p>
      <w:pPr>
        <w:numPr>
          <w:ilvl w:val="0"/>
          <w:numId w:val="1"/>
        </w:numPr>
        <w:rPr>
          <w:rFonts w:hint="eastAsia" w:ascii="宋体" w:hAnsi="宋体"/>
          <w:b/>
          <w:bCs/>
          <w:color w:val="FF0000"/>
          <w:sz w:val="18"/>
          <w:lang w:val="en-US" w:eastAsia="zh-CN"/>
        </w:rPr>
      </w:pPr>
      <w:r>
        <w:rPr>
          <w:rFonts w:hint="eastAsia" w:ascii="宋体" w:hAnsi="宋体"/>
          <w:b/>
          <w:bCs/>
          <w:color w:val="FF0000"/>
          <w:sz w:val="18"/>
          <w:lang w:val="en-US" w:eastAsia="zh-CN"/>
        </w:rPr>
        <w:t>已完结台账记录实时锁定；锁定的数据记录不予许修改，删除</w:t>
      </w:r>
    </w:p>
    <w:p>
      <w:pPr>
        <w:numPr>
          <w:ilvl w:val="0"/>
          <w:numId w:val="1"/>
        </w:numPr>
        <w:rPr>
          <w:rFonts w:hint="eastAsia" w:ascii="宋体" w:hAnsi="宋体"/>
          <w:b/>
          <w:bCs/>
          <w:color w:val="FF0000"/>
          <w:sz w:val="18"/>
          <w:lang w:val="en-US" w:eastAsia="zh-CN"/>
        </w:rPr>
      </w:pPr>
      <w:r>
        <w:rPr>
          <w:rFonts w:hint="eastAsia" w:ascii="宋体" w:hAnsi="宋体"/>
          <w:b/>
          <w:bCs/>
          <w:color w:val="FF0000"/>
          <w:sz w:val="18"/>
          <w:lang w:val="en-US" w:eastAsia="zh-CN"/>
        </w:rPr>
        <w:t>台账数据一键导出excel</w:t>
      </w:r>
    </w:p>
    <w:p>
      <w:pPr>
        <w:numPr>
          <w:ilvl w:val="0"/>
          <w:numId w:val="1"/>
        </w:numPr>
        <w:rPr>
          <w:rFonts w:hint="eastAsia" w:ascii="宋体" w:hAnsi="宋体"/>
          <w:b/>
          <w:bCs/>
          <w:color w:val="0070C0"/>
          <w:sz w:val="18"/>
          <w:lang w:val="en-US" w:eastAsia="zh-CN"/>
        </w:rPr>
      </w:pPr>
      <w:r>
        <w:rPr>
          <w:rFonts w:hint="eastAsia" w:ascii="宋体" w:hAnsi="宋体"/>
          <w:b/>
          <w:bCs/>
          <w:color w:val="0070C0"/>
          <w:sz w:val="18"/>
          <w:lang w:val="en-US" w:eastAsia="zh-CN"/>
        </w:rPr>
        <w:t>不同操作员可以编辑查看的字段根据实际情况自行在操作员管理中进行设置，当操作员进入系统后，系统只列示自己有权限看到的和有权限编辑的字段；无权限字段则不于显示</w:t>
      </w:r>
    </w:p>
    <w:p>
      <w:pPr>
        <w:numPr>
          <w:ilvl w:val="0"/>
          <w:numId w:val="1"/>
        </w:numPr>
        <w:rPr>
          <w:rFonts w:hint="eastAsia" w:ascii="宋体" w:hAnsi="宋体"/>
          <w:sz w:val="18"/>
          <w:lang w:val="en-US" w:eastAsia="zh-CN"/>
        </w:rPr>
      </w:pPr>
      <w:r>
        <w:rPr>
          <w:rFonts w:hint="eastAsia" w:ascii="宋体" w:hAnsi="宋体"/>
          <w:sz w:val="18"/>
          <w:lang w:val="en-US" w:eastAsia="zh-CN"/>
        </w:rPr>
        <w:t>系统提供一键查询本月台账数据功能；提供按船期，签单日期，箱号，发票号，入货通知日期，客户名称，品名以及其他字段一键组合快速查询功能</w:t>
      </w:r>
    </w:p>
    <w:p>
      <w:pPr>
        <w:numPr>
          <w:ilvl w:val="0"/>
          <w:numId w:val="1"/>
        </w:numPr>
        <w:rPr>
          <w:rFonts w:hint="eastAsia" w:ascii="宋体" w:hAnsi="宋体"/>
          <w:sz w:val="18"/>
          <w:lang w:val="en-US" w:eastAsia="zh-CN"/>
        </w:rPr>
      </w:pPr>
      <w:r>
        <w:rPr>
          <w:rFonts w:hint="eastAsia" w:ascii="宋体" w:hAnsi="宋体"/>
          <w:sz w:val="18"/>
          <w:lang w:val="en-US" w:eastAsia="zh-CN"/>
        </w:rPr>
        <w:t>系统提供操作员有权编辑查看字段的各种任意组合查询</w:t>
      </w:r>
    </w:p>
    <w:p>
      <w:pPr>
        <w:numPr>
          <w:ilvl w:val="0"/>
          <w:numId w:val="1"/>
        </w:numPr>
        <w:rPr>
          <w:rFonts w:hint="eastAsia" w:ascii="宋体" w:hAnsi="宋体"/>
          <w:sz w:val="18"/>
          <w:lang w:val="en-US" w:eastAsia="zh-CN"/>
        </w:rPr>
      </w:pPr>
      <w:r>
        <w:rPr>
          <w:rFonts w:hint="eastAsia" w:ascii="宋体" w:hAnsi="宋体"/>
          <w:sz w:val="18"/>
          <w:lang w:val="en-US" w:eastAsia="zh-CN"/>
        </w:rPr>
        <w:t>双击已锁定台账记录：如果当前操作员属于风控部可以进行是否收汇字段的改写</w:t>
      </w:r>
    </w:p>
    <w:p>
      <w:pPr>
        <w:numPr>
          <w:ilvl w:val="0"/>
          <w:numId w:val="1"/>
        </w:numPr>
        <w:rPr>
          <w:rFonts w:hint="eastAsia" w:ascii="宋体" w:hAnsi="宋体"/>
          <w:sz w:val="18"/>
          <w:lang w:val="en-US" w:eastAsia="zh-CN"/>
        </w:rPr>
      </w:pPr>
      <w:r>
        <w:rPr>
          <w:rFonts w:hint="eastAsia" w:ascii="宋体" w:hAnsi="宋体"/>
          <w:sz w:val="18"/>
          <w:lang w:val="en-US" w:eastAsia="zh-CN"/>
        </w:rPr>
        <w:t>双击已锁定台账记录：如果当前操作员有二程中转，预计到港日期和订舱备注字段编辑权限则可以对其修改</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台账数据字段顺序自定义；手动拖动简单快捷；有助于操作员达到快速便捷操作</w:t>
      </w:r>
    </w:p>
    <w:p>
      <w:pPr>
        <w:numPr>
          <w:ilvl w:val="0"/>
          <w:numId w:val="1"/>
        </w:numPr>
        <w:rPr>
          <w:rFonts w:hint="eastAsia" w:ascii="宋体" w:hAnsi="宋体"/>
          <w:sz w:val="18"/>
          <w:lang w:val="en-US" w:eastAsia="zh-CN"/>
        </w:rPr>
      </w:pPr>
      <w:r>
        <w:rPr>
          <w:rFonts w:hint="eastAsia" w:ascii="宋体" w:hAnsi="宋体"/>
          <w:sz w:val="18"/>
          <w:lang w:val="en-US" w:eastAsia="zh-CN"/>
        </w:rPr>
        <w:t>台账数据增加：增加方式：直接增加和复制增加，也可以通过数据提取提取其他台账记录的字段信息写入可编辑字段【按箱号进行提取】</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台账数据保存相关自动计算字段</w:t>
      </w:r>
      <w:r>
        <w:rPr>
          <w:rFonts w:hint="eastAsia" w:ascii="宋体" w:hAnsi="宋体"/>
          <w:sz w:val="18"/>
          <w:lang w:val="en-US" w:eastAsia="zh-CN"/>
        </w:rPr>
        <w:t>如下：实际扣款，预计回款天数【会用到目的国预计回程天数】，净利润，回款到期日期，逾期天数，业务计息，实际回款天数，佣金余额，佣金余额，合计利润，进口毛利等相关字段，计算完后；如果计算字段在操作员的可以查看字段信息中，系统会智能刷新</w:t>
      </w:r>
    </w:p>
    <w:p>
      <w:pPr>
        <w:numPr>
          <w:ilvl w:val="0"/>
          <w:numId w:val="1"/>
        </w:numPr>
        <w:rPr>
          <w:rFonts w:hint="eastAsia" w:ascii="宋体" w:hAnsi="宋体"/>
          <w:sz w:val="18"/>
          <w:lang w:val="en-US" w:eastAsia="zh-CN"/>
        </w:rPr>
      </w:pPr>
      <w:r>
        <w:rPr>
          <w:rFonts w:hint="eastAsia" w:ascii="宋体" w:hAnsi="宋体"/>
          <w:sz w:val="18"/>
          <w:lang w:val="en-US" w:eastAsia="zh-CN"/>
        </w:rPr>
        <w:t>信息保存是系统会自动检测所有可选择字段，是否存在对应的数据字典中如果不存在系统将提示并不予以保存，以保证数据的信息的正确性，科学性和严肃性，杜绝信息的随意录入</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所有选择字段可以进行查询录入</w:t>
      </w:r>
      <w:r>
        <w:rPr>
          <w:rFonts w:hint="eastAsia" w:ascii="宋体" w:hAnsi="宋体"/>
          <w:sz w:val="18"/>
          <w:lang w:val="en-US" w:eastAsia="zh-CN"/>
        </w:rPr>
        <w:t>以达到快速便捷的操作节省操作员时间；提高办事效率【这种查询式录入对客户，目的国等选项记录超多的字段相当有用】</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保存时当客户额度超过计算数额时将给与提示</w:t>
      </w:r>
      <w:r>
        <w:rPr>
          <w:rFonts w:hint="eastAsia" w:ascii="宋体" w:hAnsi="宋体"/>
          <w:sz w:val="18"/>
          <w:lang w:val="en-US" w:eastAsia="zh-CN"/>
        </w:rPr>
        <w:t>，操作员可以忽略并进行保存的继续执行，也可以取消并修改数据</w:t>
      </w:r>
    </w:p>
    <w:p>
      <w:pPr>
        <w:numPr>
          <w:ilvl w:val="0"/>
          <w:numId w:val="1"/>
        </w:numPr>
        <w:rPr>
          <w:rFonts w:hint="eastAsia" w:ascii="宋体" w:hAnsi="宋体"/>
          <w:sz w:val="18"/>
          <w:lang w:val="en-US" w:eastAsia="zh-CN"/>
        </w:rPr>
      </w:pPr>
      <w:r>
        <w:rPr>
          <w:rFonts w:hint="eastAsia" w:ascii="宋体" w:hAnsi="宋体"/>
          <w:b/>
          <w:bCs/>
          <w:color w:val="92D050"/>
          <w:sz w:val="18"/>
          <w:lang w:val="en-US" w:eastAsia="zh-CN"/>
        </w:rPr>
        <w:t>数据结转下年：</w:t>
      </w:r>
      <w:r>
        <w:rPr>
          <w:rFonts w:hint="eastAsia" w:ascii="宋体" w:hAnsi="宋体"/>
          <w:sz w:val="18"/>
          <w:lang w:val="en-US" w:eastAsia="zh-CN"/>
        </w:rPr>
        <w:t>在修改记录时如果船期字段的年份到达下年会提示是否结转本条记录到年</w:t>
      </w:r>
    </w:p>
    <w:p>
      <w:pPr>
        <w:numPr>
          <w:ilvl w:val="0"/>
          <w:numId w:val="1"/>
        </w:numPr>
        <w:rPr>
          <w:rFonts w:hint="eastAsia" w:ascii="宋体" w:hAnsi="宋体"/>
          <w:sz w:val="18"/>
          <w:lang w:val="en-US" w:eastAsia="zh-CN"/>
        </w:rPr>
      </w:pPr>
      <w:r>
        <w:rPr>
          <w:rFonts w:hint="eastAsia" w:ascii="宋体" w:hAnsi="宋体"/>
          <w:b/>
          <w:bCs/>
          <w:color w:val="FF0000"/>
          <w:sz w:val="18"/>
          <w:lang w:val="en-US" w:eastAsia="zh-CN"/>
        </w:rPr>
        <w:t>数据字典管理，可对台账选择字段选项进行设置；</w:t>
      </w:r>
      <w:r>
        <w:rPr>
          <w:rFonts w:hint="eastAsia" w:ascii="宋体" w:hAnsi="宋体"/>
          <w:sz w:val="18"/>
          <w:lang w:val="en-US" w:eastAsia="zh-CN"/>
        </w:rPr>
        <w:t>可设置字段如下：物流分组，国贸部，业务员，维系员，客户名称，品名，目的国，船代公司，货代，箱型，场站，车队，拖货地点，发货人，开证行，快递，交单银行，船代，放行状态，产地，质检员，放单员，发货地，生产分组，采购部门，签单方式，目的港，单证员，报检员，派车员，是否收汇，公司名称，清关地，仓库，放单员2，放单员3，接单员和起运港等</w:t>
      </w:r>
    </w:p>
    <w:p>
      <w:pPr>
        <w:numPr>
          <w:ilvl w:val="0"/>
          <w:numId w:val="1"/>
        </w:numPr>
        <w:rPr>
          <w:rFonts w:hint="eastAsia" w:ascii="宋体" w:hAnsi="宋体"/>
          <w:sz w:val="18"/>
          <w:lang w:val="en-US" w:eastAsia="zh-CN"/>
        </w:rPr>
      </w:pPr>
      <w:r>
        <w:rPr>
          <w:rFonts w:hint="eastAsia" w:ascii="宋体" w:hAnsi="宋体"/>
          <w:b/>
          <w:bCs/>
          <w:color w:val="00B050"/>
          <w:sz w:val="18"/>
          <w:lang w:val="en-US" w:eastAsia="zh-CN"/>
        </w:rPr>
        <w:t>颜色标识；操作员可对重要台账记录字段在表格上进行颜色标识；达到重点有效管理的目的</w:t>
      </w:r>
    </w:p>
    <w:p>
      <w:pPr>
        <w:numPr>
          <w:ilvl w:val="0"/>
          <w:numId w:val="1"/>
        </w:numPr>
        <w:rPr>
          <w:rFonts w:hint="eastAsia" w:ascii="宋体" w:hAnsi="宋体"/>
          <w:b/>
          <w:bCs/>
          <w:color w:val="FF0000"/>
          <w:sz w:val="18"/>
          <w:lang w:val="en-US" w:eastAsia="zh-CN"/>
        </w:rPr>
      </w:pPr>
      <w:r>
        <w:rPr>
          <w:rFonts w:hint="eastAsia" w:ascii="宋体" w:hAnsi="宋体"/>
          <w:sz w:val="18"/>
          <w:lang w:val="en-US" w:eastAsia="zh-CN"/>
        </w:rPr>
        <w:t>操作员管理，对涉及台账相关操作人员进行增加，修改，删除等操作，并</w:t>
      </w:r>
      <w:r>
        <w:rPr>
          <w:rFonts w:hint="eastAsia" w:ascii="宋体" w:hAnsi="宋体"/>
          <w:b/>
          <w:bCs/>
          <w:color w:val="FF0000"/>
          <w:sz w:val="18"/>
          <w:lang w:val="en-US" w:eastAsia="zh-CN"/>
        </w:rPr>
        <w:t>对用户的操作权限以及可编辑查看的字段进行设置</w:t>
      </w:r>
    </w:p>
    <w:p>
      <w:pPr>
        <w:jc w:val="left"/>
        <w:rPr>
          <w:rFonts w:hint="eastAsia" w:ascii="宋体" w:hAnsi="宋体"/>
          <w:b/>
          <w:bCs/>
          <w:color w:val="0070C0"/>
          <w:sz w:val="18"/>
          <w:lang w:val="en-US" w:eastAsia="zh-CN"/>
        </w:rPr>
      </w:pPr>
      <w:r>
        <w:rPr>
          <w:rFonts w:hint="eastAsia"/>
          <w:b/>
          <w:bCs/>
          <w:color w:val="0070C0"/>
          <w:sz w:val="18"/>
          <w:lang w:val="en-US" w:eastAsia="zh-CN"/>
        </w:rPr>
        <w:t>22.软件登录时，数据自动备份，保证数据可以随时恢复到最新点</w:t>
      </w:r>
    </w:p>
    <w:p>
      <w:pPr>
        <w:numPr>
          <w:ilvl w:val="0"/>
          <w:numId w:val="0"/>
        </w:numPr>
        <w:rPr>
          <w:rFonts w:hint="eastAsia"/>
          <w:b/>
          <w:bCs/>
          <w:color w:val="000000"/>
          <w:sz w:val="18"/>
          <w:lang w:val="en-US" w:eastAsia="zh-CN"/>
        </w:rPr>
      </w:pPr>
      <w:r>
        <w:rPr>
          <w:rFonts w:hint="eastAsia"/>
          <w:b/>
          <w:bCs/>
          <w:color w:val="000000"/>
          <w:sz w:val="18"/>
          <w:lang w:val="en-US" w:eastAsia="zh-CN"/>
        </w:rPr>
        <w:t>23.购买用户会免费获得一年技术支持服务以及至少三次免费定制服务</w:t>
      </w:r>
    </w:p>
    <w:p>
      <w:pPr>
        <w:numPr>
          <w:ilvl w:val="0"/>
          <w:numId w:val="0"/>
        </w:numPr>
        <w:rPr>
          <w:rFonts w:hint="eastAsia"/>
          <w:b/>
          <w:bCs/>
          <w:color w:val="000000"/>
          <w:sz w:val="18"/>
          <w:lang w:val="en-US" w:eastAsia="zh-CN"/>
        </w:rPr>
      </w:pPr>
      <w:r>
        <w:rPr>
          <w:rFonts w:hint="eastAsia"/>
          <w:b/>
          <w:bCs/>
          <w:color w:val="000000"/>
          <w:sz w:val="18"/>
          <w:lang w:val="en-US" w:eastAsia="zh-CN"/>
        </w:rPr>
        <w:t>以下是软件的部分界面图，仅供大家更好的了解软件的强大功能</w:t>
      </w:r>
    </w:p>
    <w:p>
      <w:r>
        <w:drawing>
          <wp:inline distT="0" distB="0" distL="114300" distR="114300">
            <wp:extent cx="5268595" cy="2807970"/>
            <wp:effectExtent l="0" t="0" r="825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2807970"/>
                    </a:xfrm>
                    <a:prstGeom prst="rect">
                      <a:avLst/>
                    </a:prstGeom>
                    <a:noFill/>
                    <a:ln w="9525">
                      <a:noFill/>
                    </a:ln>
                  </pic:spPr>
                </pic:pic>
              </a:graphicData>
            </a:graphic>
          </wp:inline>
        </w:drawing>
      </w:r>
    </w:p>
    <w:p>
      <w:r>
        <w:drawing>
          <wp:inline distT="0" distB="0" distL="114300" distR="114300">
            <wp:extent cx="5268595" cy="2807970"/>
            <wp:effectExtent l="0" t="0" r="825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8595" cy="2807970"/>
                    </a:xfrm>
                    <a:prstGeom prst="rect">
                      <a:avLst/>
                    </a:prstGeom>
                    <a:noFill/>
                    <a:ln w="9525">
                      <a:noFill/>
                    </a:ln>
                  </pic:spPr>
                </pic:pic>
              </a:graphicData>
            </a:graphic>
          </wp:inline>
        </w:drawing>
      </w:r>
      <w:r>
        <w:drawing>
          <wp:inline distT="0" distB="0" distL="114300" distR="114300">
            <wp:extent cx="5268595" cy="2807970"/>
            <wp:effectExtent l="0" t="0" r="8255"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8595" cy="2807970"/>
                    </a:xfrm>
                    <a:prstGeom prst="rect">
                      <a:avLst/>
                    </a:prstGeom>
                    <a:noFill/>
                    <a:ln w="9525">
                      <a:noFill/>
                    </a:ln>
                  </pic:spPr>
                </pic:pic>
              </a:graphicData>
            </a:graphic>
          </wp:inline>
        </w:drawing>
      </w:r>
      <w:r>
        <w:drawing>
          <wp:inline distT="0" distB="0" distL="114300" distR="114300">
            <wp:extent cx="5268595" cy="2807970"/>
            <wp:effectExtent l="0" t="0" r="8255"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8595" cy="2807970"/>
                    </a:xfrm>
                    <a:prstGeom prst="rect">
                      <a:avLst/>
                    </a:prstGeom>
                    <a:noFill/>
                    <a:ln w="9525">
                      <a:noFill/>
                    </a:ln>
                  </pic:spPr>
                </pic:pic>
              </a:graphicData>
            </a:graphic>
          </wp:inline>
        </w:drawing>
      </w:r>
      <w:r>
        <w:drawing>
          <wp:inline distT="0" distB="0" distL="114300" distR="114300">
            <wp:extent cx="5268595" cy="2807970"/>
            <wp:effectExtent l="0" t="0" r="8255"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8595" cy="2807970"/>
                    </a:xfrm>
                    <a:prstGeom prst="rect">
                      <a:avLst/>
                    </a:prstGeom>
                    <a:noFill/>
                    <a:ln w="9525">
                      <a:noFill/>
                    </a:ln>
                  </pic:spPr>
                </pic:pic>
              </a:graphicData>
            </a:graphic>
          </wp:inline>
        </w:drawing>
      </w:r>
      <w:r>
        <w:drawing>
          <wp:inline distT="0" distB="0" distL="114300" distR="114300">
            <wp:extent cx="5268595" cy="2807970"/>
            <wp:effectExtent l="0" t="0" r="8255"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8595" cy="2807970"/>
                    </a:xfrm>
                    <a:prstGeom prst="rect">
                      <a:avLst/>
                    </a:prstGeom>
                    <a:noFill/>
                    <a:ln w="9525">
                      <a:noFill/>
                    </a:ln>
                  </pic:spPr>
                </pic:pic>
              </a:graphicData>
            </a:graphic>
          </wp:inline>
        </w:drawing>
      </w:r>
      <w:r>
        <w:drawing>
          <wp:inline distT="0" distB="0" distL="114300" distR="114300">
            <wp:extent cx="5268595" cy="2792730"/>
            <wp:effectExtent l="0" t="0" r="8255"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8595" cy="2792730"/>
                    </a:xfrm>
                    <a:prstGeom prst="rect">
                      <a:avLst/>
                    </a:prstGeom>
                    <a:noFill/>
                    <a:ln w="9525">
                      <a:noFill/>
                    </a:ln>
                  </pic:spPr>
                </pic:pic>
              </a:graphicData>
            </a:graphic>
          </wp:inline>
        </w:drawing>
      </w:r>
    </w:p>
    <w:p>
      <w:r>
        <w:drawing>
          <wp:inline distT="0" distB="0" distL="114300" distR="114300">
            <wp:extent cx="5268595" cy="2807970"/>
            <wp:effectExtent l="0" t="0" r="8255" b="1143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68595" cy="2807970"/>
                    </a:xfrm>
                    <a:prstGeom prst="rect">
                      <a:avLst/>
                    </a:prstGeom>
                    <a:noFill/>
                    <a:ln w="9525">
                      <a:noFill/>
                    </a:ln>
                  </pic:spPr>
                </pic:pic>
              </a:graphicData>
            </a:graphic>
          </wp:inline>
        </w:drawing>
      </w:r>
    </w:p>
    <w:p>
      <w:r>
        <w:drawing>
          <wp:inline distT="0" distB="0" distL="114300" distR="114300">
            <wp:extent cx="5268595" cy="2807970"/>
            <wp:effectExtent l="0" t="0" r="8255"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68595" cy="2807970"/>
                    </a:xfrm>
                    <a:prstGeom prst="rect">
                      <a:avLst/>
                    </a:prstGeom>
                    <a:noFill/>
                    <a:ln w="9525">
                      <a:noFill/>
                    </a:ln>
                  </pic:spPr>
                </pic:pic>
              </a:graphicData>
            </a:graphic>
          </wp:inline>
        </w:drawing>
      </w:r>
    </w:p>
    <w:p>
      <w:pPr>
        <w:rPr>
          <w:rFonts w:hint="eastAsia" w:eastAsia="宋体"/>
          <w:lang w:eastAsia="zh-CN"/>
        </w:rPr>
      </w:pPr>
      <w:r>
        <w:rPr>
          <w:rFonts w:hint="eastAsia"/>
          <w:lang w:eastAsia="zh-CN"/>
        </w:rPr>
        <w:t>以上便是软件的一些简单介绍；详细情况请试用软件以体验其细节方面的强大功能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BA67B1"/>
    <w:multiLevelType w:val="singleLevel"/>
    <w:tmpl w:val="F5BA67B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17065"/>
    <w:rsid w:val="119A53DE"/>
    <w:rsid w:val="14A80958"/>
    <w:rsid w:val="1E4377F0"/>
    <w:rsid w:val="2E084374"/>
    <w:rsid w:val="3ED73EE7"/>
    <w:rsid w:val="42F528FA"/>
    <w:rsid w:val="4C6E2990"/>
    <w:rsid w:val="5CEA13C9"/>
    <w:rsid w:val="79CE4732"/>
    <w:rsid w:val="7D363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1624"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2383" w:semiHidden="0" w:name="Hyperlink"/>
    <w:lsdException w:unhideWhenUsed="0" w:uiPriority="2398"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2"/>
    <w:basedOn w:val="1"/>
    <w:qFormat/>
    <w:uiPriority w:val="1624"/>
    <w:rPr>
      <w:sz w:val="18"/>
    </w:rPr>
  </w:style>
  <w:style w:type="character" w:styleId="4">
    <w:name w:val="FollowedHyperlink"/>
    <w:basedOn w:val="3"/>
    <w:uiPriority w:val="2398"/>
    <w:rPr>
      <w:color w:val="800080"/>
      <w:u w:val="single"/>
    </w:rPr>
  </w:style>
  <w:style w:type="character" w:styleId="5">
    <w:name w:val="Hyperlink"/>
    <w:basedOn w:val="3"/>
    <w:uiPriority w:val="2383"/>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2024-08-02T05:36:27Z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