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81801204"/>
      <w:bookmarkStart w:id="1" w:name="OLE_LINK15"/>
      <w:bookmarkStart w:id="2" w:name="_Toc415818939"/>
      <w:bookmarkStart w:id="3" w:name="OLE_LINK13"/>
      <w:bookmarkStart w:id="4" w:name="_Toc438987549"/>
      <w:bookmarkStart w:id="5" w:name="_Toc453597319"/>
      <w:bookmarkStart w:id="6" w:name="_Toc517262917"/>
      <w:bookmarkStart w:id="7" w:name="_Toc418070112"/>
      <w:bookmarkStart w:id="8" w:name="_Toc415143481"/>
      <w:bookmarkStart w:id="9" w:name="_Toc415142861"/>
      <w:bookmarkStart w:id="10" w:name="OLE_LINK39"/>
      <w:bookmarkStart w:id="11" w:name="OLE_LINK24"/>
      <w:bookmarkStart w:id="12" w:name="OLE_LINK40"/>
      <w:r>
        <w:rPr>
          <w:lang w:eastAsia="zh-CN"/>
        </w:rPr>
        <w:t>海底地震仪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海底地震仪是一种用于监测海洋中地震活动的仪器。它通常由一个浮标和一根可延伸的电缆组成，电缆下挂有一个或多个声，温，压，磁等不同类型的传感器，通过这些传感器可以采集海底地震和地壳变化等信息。海底地震仪主要用于监测海底的地震活动、地震学研究以及预警和预防海啸等自然灾害。</w:t>
      </w:r>
      <w:r>
        <w:t>其供应链结构涵盖了研发、制造、销售和服务等多个环节，涉及材料供应、零部件生产、组装集成以及最终用户等多个主体。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3759835" cy="2622550"/>
            <wp:effectExtent l="0" t="0" r="0" b="6350"/>
            <wp:docPr id="1420" name="图片 1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" name="图片 14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82848" cy="263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030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海底地震仪</w:t>
      </w:r>
      <w:r>
        <w:rPr>
          <w:rFonts w:hint="eastAsia"/>
          <w:lang w:eastAsia="zh-CN"/>
        </w:rPr>
        <w:t>市场规模将达到1.3亿美元，未来几年年复合增长率CAGR为7.2%。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海底地震仪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936875"/>
            <wp:effectExtent l="0" t="0" r="2540" b="0"/>
            <wp:docPr id="40363580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海底地震仪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海底地震仪</w:t>
      </w:r>
      <w:r>
        <w:rPr>
          <w:rFonts w:hint="eastAsia"/>
          <w:lang w:eastAsia="zh-CN"/>
        </w:rPr>
        <w:t>市场前12强生产商排名及市场占有率（基于2</w:t>
      </w:r>
      <w:r>
        <w:rPr>
          <w:lang w:eastAsia="zh-CN"/>
        </w:rPr>
        <w:t>02</w:t>
      </w:r>
      <w:r>
        <w:rPr>
          <w:rFonts w:hint="eastAsia"/>
          <w:lang w:eastAsia="zh-CN"/>
        </w:rPr>
        <w:t>3年调研数据；目前最新数据以本公司最新调研数据为准）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5954395" cy="4344670"/>
            <wp:effectExtent l="0" t="0" r="8255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海底地震仪</w:t>
      </w:r>
      <w:r>
        <w:rPr>
          <w:rFonts w:hint="eastAsia"/>
          <w:lang w:eastAsia="zh-CN"/>
        </w:rPr>
        <w:t>市场研究报告2024-2030”，排名基于2023数据。目前最新数据，以本公司最新调研数据为准。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根据QYResearch头部企业研究中心调研，全球范围内海底地震仪生产商主要包括Guralp Systems、K.U.M. Umwelt、Sercel、Nanometrics、R-Sensors、青岛国科海洋环境工程、北京港震科技、珠海泰德、Geobit Instruments、重庆中地装等。</w:t>
      </w:r>
    </w:p>
    <w:p>
      <w:pPr>
        <w:rPr>
          <w:rFonts w:hint="eastAsia"/>
          <w:lang w:eastAsia="zh-CN"/>
        </w:rPr>
      </w:pPr>
    </w:p>
    <w:p>
      <w:pPr>
        <w:rPr>
          <w:rFonts w:hint="default"/>
        </w:rPr>
      </w:pPr>
      <w:r>
        <w:rPr>
          <w:rFonts w:hint="default"/>
        </w:rPr>
        <w:t>Guralp Systems Ltd</w:t>
      </w:r>
      <w:r>
        <w:br w:type="textWrapping"/>
      </w:r>
      <w:r>
        <w:rPr>
          <w:rFonts w:hint="default"/>
        </w:rPr>
        <w:t>作为全球领先的海底地震仪制造商之一，Guralp Systems Ltd以其卓越的产品性能和稳定的品质赢得了广泛的市场认可。公司致力于研发创新，不断推出适应不同需求的海底地震仪产品，为全球海洋地震勘探提供了有力支持。</w:t>
      </w:r>
    </w:p>
    <w:p>
      <w:pPr>
        <w:rPr>
          <w:rFonts w:hint="default"/>
        </w:rPr>
      </w:pPr>
    </w:p>
    <w:p>
      <w:pPr>
        <w:rPr>
          <w:rFonts w:hint="eastAsia"/>
          <w:lang w:eastAsia="zh-CN"/>
        </w:rPr>
      </w:pPr>
      <w:r>
        <w:rPr>
          <w:rFonts w:hint="default"/>
        </w:rPr>
        <w:t>MARINE GEODYNAMICS</w:t>
      </w:r>
      <w:r>
        <w:rPr>
          <w:rFonts w:hint="default"/>
        </w:rPr>
        <w:br w:type="textWrapping"/>
      </w:r>
      <w:r>
        <w:rPr>
          <w:rFonts w:hint="default"/>
        </w:rPr>
        <w:t>MARINE GEODYNAMICS是另一家重要的海底地震仪生产商，其在技术研发和市场拓展方面均取得了显著成果。公司的海底地震仪产品广泛应用于海洋科学研究和资源勘探领域，为客户提供了高效、准确的数据采集解决方案。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2023年，全球前十强厂商占有大约91%的市场份额。</w:t>
      </w:r>
    </w:p>
    <w:p>
      <w:r>
        <w:rPr>
          <w:rFonts w:hint="default"/>
        </w:rPr>
        <w:t>市场现状与机遇</w:t>
      </w:r>
    </w:p>
    <w:p>
      <w:pPr>
        <w:rPr>
          <w:rFonts w:hint="default"/>
        </w:rPr>
      </w:pPr>
      <w:r>
        <w:rPr>
          <w:rFonts w:hint="default"/>
        </w:rPr>
        <w:t>当前，全球海底地震仪市场呈现出稳步增长的态势。随着海洋资源勘探需求的不断增加以及技术的不断进步，海底地震仪的市场规模将持续扩大。</w:t>
      </w:r>
    </w:p>
    <w:p>
      <w:pPr>
        <w:rPr>
          <w:rFonts w:hint="default"/>
        </w:rPr>
      </w:pPr>
      <w:r>
        <w:rPr>
          <w:rFonts w:hint="default"/>
        </w:rPr>
        <w:t>据预测，到2030年，全球海底地震仪市场规模将达到1.3亿美元。其中，亚太地区由于地质条件复杂、海洋资源丰富，将成为市场增长的主要驱动力。此外，欧洲、北美等地区也将保持稳定的增长态势。</w:t>
      </w:r>
    </w:p>
    <w:p>
      <w:pPr>
        <w:rPr>
          <w:rFonts w:hint="default"/>
        </w:rPr>
      </w:pPr>
      <w:bookmarkStart w:id="19" w:name="_GoBack"/>
      <w:bookmarkEnd w:id="19"/>
    </w:p>
    <w:p>
      <w:pPr>
        <w:rPr>
          <w:rFonts w:hint="default"/>
        </w:rPr>
      </w:pPr>
      <w:r>
        <w:rPr>
          <w:rFonts w:hint="default"/>
        </w:rPr>
        <w:t>政策与趋势分析</w:t>
      </w:r>
    </w:p>
    <w:p>
      <w:pPr>
        <w:rPr>
          <w:rFonts w:hint="default"/>
        </w:rPr>
      </w:pPr>
      <w:r>
        <w:rPr>
          <w:rFonts w:hint="default"/>
        </w:rPr>
        <w:t>政策方面，各国政府纷纷加大对海洋资源勘探和开发的支持力度，推动相关产业的发展。同时，环保和可持续发展的理念也逐渐深入人心，对海底地震仪等环保、高效的地质勘探设备的需求将进一步增加。</w:t>
      </w:r>
    </w:p>
    <w:p>
      <w:pPr>
        <w:rPr>
          <w:rFonts w:hint="default"/>
        </w:rPr>
      </w:pPr>
      <w:r>
        <w:rPr>
          <w:rFonts w:hint="default"/>
        </w:rPr>
        <w:t>从行业趋势来看，海底地震仪将向更高精度、更智能化、更便携化的方向发展。随着物联网、大数据等技术的广泛应用，海底地震仪的数据处理和分析能力将得到进一步提升，为海洋地质研究和资源勘探提供更加全面、准确的信息支持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未来预测与投资建议</w:t>
      </w:r>
    </w:p>
    <w:p>
      <w:pPr>
        <w:rPr>
          <w:rFonts w:hint="default"/>
        </w:rPr>
      </w:pPr>
      <w:r>
        <w:rPr>
          <w:rFonts w:hint="default"/>
        </w:rPr>
        <w:t>基于对当前市场状况和行业趋势的深入分析，我们预计未来几年全球海底地震仪市场将保持快速增长的态势。投资者可关注具有技术优势和市场竞争力的企业，结合政策环境和市场需求，制定合理的投资策略。</w:t>
      </w:r>
    </w:p>
    <w:p>
      <w:pPr>
        <w:rPr>
          <w:rFonts w:hint="default"/>
        </w:rPr>
      </w:pPr>
      <w:r>
        <w:rPr>
          <w:rFonts w:hint="default"/>
        </w:rPr>
        <w:t>然而，投资者也应注意到该市场存在的风险和挑战。例如，技术更新换代的速度较快，企业需要不断投入研发以保持竞争优势；同时，市场竞争也日趋激烈，企业需要不断提升产品质量和服务水平以赢得市场份额。因此，在投资决策时，投资者应充分考虑这些因素，以确保投资的安全和收益。</w:t>
      </w: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本文作者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rPr>
          <w:rFonts w:cs="Times New Roman"/>
          <w:kern w:val="0"/>
          <w:sz w:val="20"/>
          <w:szCs w:val="20"/>
        </w:rPr>
      </w:pPr>
      <w:r>
        <w:rPr>
          <w:rFonts w:hint="eastAsia" w:cs="Times New Roman"/>
          <w:kern w:val="0"/>
          <w:sz w:val="20"/>
          <w:szCs w:val="20"/>
        </w:rPr>
        <w:t>董家时--本文主要分析师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QYResearch广州分部分析师，作为QYResearch半导体设备和材料部门的成员，主要研究</w:t>
      </w:r>
      <w:r>
        <w:rPr>
          <w:rFonts w:hint="eastAsia"/>
        </w:rPr>
        <w:t>领域有汽车电子</w:t>
      </w:r>
      <w:r>
        <w:rPr>
          <w:rFonts w:hint="eastAsia"/>
          <w:lang w:val="en-US" w:eastAsia="zh-CN"/>
        </w:rPr>
        <w:t>、半导体设备、材料和导热粉末领域，部分细分研究课题包括</w:t>
      </w:r>
      <w:r>
        <w:rPr>
          <w:rFonts w:hint="eastAsia"/>
        </w:rPr>
        <w:t>汽车二极管、汽车电感、汽车激光雷达、射频电源、</w:t>
      </w:r>
      <w:r>
        <w:rPr>
          <w:rFonts w:hint="eastAsia"/>
          <w:lang w:val="en-US" w:eastAsia="zh-CN"/>
        </w:rPr>
        <w:t>塑封机、</w:t>
      </w:r>
      <w:r>
        <w:rPr>
          <w:rFonts w:hint="eastAsia"/>
        </w:rPr>
        <w:t>高纯有色金属、电池材料、</w:t>
      </w:r>
      <w:r>
        <w:rPr>
          <w:rFonts w:hint="eastAsia"/>
          <w:lang w:val="en-US" w:eastAsia="zh-CN"/>
        </w:rPr>
        <w:t>前驱体、电镀设备、导热球铝</w:t>
      </w:r>
      <w:r>
        <w:rPr>
          <w:rFonts w:hint="eastAsia"/>
        </w:rPr>
        <w:t>、半导体化学镀液、半导体涂层器件</w:t>
      </w:r>
      <w:r>
        <w:rPr>
          <w:rFonts w:hint="eastAsia"/>
          <w:lang w:val="en-US" w:eastAsia="zh-CN"/>
        </w:rPr>
        <w:t>等，同时也从事细分市场报告的开发，并参与定制项目的撰写。</w:t>
      </w:r>
    </w:p>
    <w:p>
      <w:pPr>
        <w:pStyle w:val="145"/>
        <w:rPr>
          <w:lang w:eastAsia="zh-CN"/>
        </w:rPr>
      </w:pP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r>
        <w:fldChar w:fldCharType="begin"/>
      </w:r>
      <w:r>
        <w:instrText xml:space="preserve"> HYPERLINK "https://www.qyresearch.com.cn/report-categories" </w:instrText>
      </w:r>
      <w: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rPr>
          <w:rFonts w:hint="eastAsia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7"/>
    <w:bookmarkStart w:id="14" w:name="_Hlk149300691"/>
    <w:bookmarkStart w:id="15" w:name="_Hlk149300690"/>
    <w:bookmarkStart w:id="16" w:name="_Hlk149300692"/>
    <w:bookmarkStart w:id="17" w:name="_Hlk149300689"/>
    <w:bookmarkStart w:id="18" w:name="_Hlk149300688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60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40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738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78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07F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01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0FF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49F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6FA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6B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0B1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8CF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4D10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CCC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4FD8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E81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6EC6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07B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44E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843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216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E23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0E9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2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58D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97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A6C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428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561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04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802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E86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I:\&#25490;&#21517;%20&#35266;&#28857;&#20889;&#20316;\Word&#21450;Excel&#27169;&#26495;\2024\&#35266;&#28857;&#25968;&#25454;&#22270;&#34920;&#27169;&#26495;-&#27169;&#26495;%2020240220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esktop\Ocean%20Bottom%20Seismometers%20(OBS)%20&#28023;&#24213;&#22320;&#38663;&#20202;%202024030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en-US" altLang="zh-CN" sz="1100">
                <a:latin typeface="Times New Roman" panose="02020603050405020304" charset="0"/>
                <a:cs typeface="Times New Roman" panose="02020603050405020304" charset="0"/>
              </a:rPr>
              <a:t>Global Market Size ($ Mn)</a:t>
            </a:r>
            <a:endParaRPr lang="en-US" altLang="zh-CN" sz="1100">
              <a:latin typeface="Times New Roman" panose="02020603050405020304" charset="0"/>
              <a:cs typeface="Times New Roman" panose="02020603050405020304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333680629718612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2019</c:v>
                </c:pt>
                <c:pt idx="1">
                  <c:v>2024</c:v>
                </c:pt>
                <c:pt idx="2">
                  <c:v>2030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474</c:v>
                </c:pt>
                <c:pt idx="1">
                  <c:v>894.003430024401</c:v>
                </c:pt>
                <c:pt idx="2">
                  <c:v>1181.47423674467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 rtl="0">
              <a:defRPr lang="zh-CN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zh-CN" altLang="en-US" sz="11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rPr>
              <a:t>全球市场主要企业排名</a:t>
            </a:r>
            <a:endParaRPr lang="en-US" altLang="zh-CN" sz="11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Times New Roman" panose="02020603050405020304" charset="0"/>
              <a:ea typeface="+mn-ea"/>
              <a:cs typeface="Times New Roman" panose="02020603050405020304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2023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企业排序!$F$14:$F$25</c:f>
              <c:strCache>
                <c:ptCount val="12"/>
                <c:pt idx="0">
                  <c:v>株式会社東京测振</c:v>
                </c:pt>
                <c:pt idx="1">
                  <c:v>北京天顿高新</c:v>
                </c:pt>
                <c:pt idx="2">
                  <c:v>重庆中地装</c:v>
                </c:pt>
                <c:pt idx="3">
                  <c:v>Geobit Instruments</c:v>
                </c:pt>
                <c:pt idx="4">
                  <c:v>珠海泰德</c:v>
                </c:pt>
                <c:pt idx="5">
                  <c:v>北京港震科技</c:v>
                </c:pt>
                <c:pt idx="6">
                  <c:v>青岛国科海洋环境工程</c:v>
                </c:pt>
                <c:pt idx="7">
                  <c:v>R-Sensors</c:v>
                </c:pt>
                <c:pt idx="8">
                  <c:v>Nanometrics</c:v>
                </c:pt>
                <c:pt idx="9">
                  <c:v>Sercel</c:v>
                </c:pt>
                <c:pt idx="10">
                  <c:v>K.U.M. Umwelt</c:v>
                </c:pt>
                <c:pt idx="11">
                  <c:v>Guralp Systems</c:v>
                </c:pt>
              </c:strCache>
            </c:strRef>
          </c:cat>
          <c:val>
            <c:numRef>
              <c:f>企业排序!$G$14:$G$25</c:f>
              <c:numCache>
                <c:formatCode>#,##0.00_ </c:formatCode>
                <c:ptCount val="12"/>
                <c:pt idx="0">
                  <c:v>1.09</c:v>
                </c:pt>
                <c:pt idx="1">
                  <c:v>1.22</c:v>
                </c:pt>
                <c:pt idx="2">
                  <c:v>1.41</c:v>
                </c:pt>
                <c:pt idx="3">
                  <c:v>1.59</c:v>
                </c:pt>
                <c:pt idx="4">
                  <c:v>1.6956</c:v>
                </c:pt>
                <c:pt idx="5">
                  <c:v>2.36</c:v>
                </c:pt>
                <c:pt idx="6">
                  <c:v>2.9316</c:v>
                </c:pt>
                <c:pt idx="7">
                  <c:v>3.62</c:v>
                </c:pt>
                <c:pt idx="8">
                  <c:v>5.61</c:v>
                </c:pt>
                <c:pt idx="9">
                  <c:v>12.75</c:v>
                </c:pt>
                <c:pt idx="10">
                  <c:v>16.47</c:v>
                </c:pt>
                <c:pt idx="11">
                  <c:v>20.47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0.55404</cdr:x>
      <cdr:y>0.22687</cdr:y>
    </cdr:from>
    <cdr:to>
      <cdr:x>0.74168</cdr:x>
      <cdr:y>0.39184</cdr:y>
    </cdr:to>
    <cdr:grpSp>
      <cdr:nvGrpSpPr>
        <cdr:cNvPr id="2" name="组合 1"/>
        <cdr:cNvGrpSpPr/>
      </cdr:nvGrpSpPr>
      <cdr:grpSpPr xmlns:a="http://schemas.openxmlformats.org/drawingml/2006/main">
        <a:xfrm>
          <a:off x="3428793" y="666289"/>
          <a:ext cx="1161250" cy="484496"/>
          <a:chOff x="3571876" y="694207"/>
          <a:chExt cx="1209675" cy="504825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3571876" y="694207"/>
            <a:ext cx="1209675" cy="504825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20190565">
            <a:off x="3744312" y="806365"/>
            <a:ext cx="785961" cy="283673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1050" baseline="0">
                <a:solidFill>
                  <a:srgbClr val="002060"/>
                </a:solidFill>
                <a:latin typeface="Times New Roman" panose="02020603050405020304" charset="0"/>
                <a:ea typeface="宋体" panose="02010600030101010101" charset="-122"/>
                <a:cs typeface="Times New Roman" panose="02020603050405020304" charset="0"/>
              </a:rPr>
              <a:t>7.2%</a:t>
            </a:r>
            <a:endParaRPr lang="zh-CN" sz="1050" baseline="0">
              <a:solidFill>
                <a:srgbClr val="002060"/>
              </a:solidFill>
              <a:latin typeface="Times New Roman" panose="02020603050405020304" charset="0"/>
              <a:ea typeface="宋体" panose="02010600030101010101" charset="-122"/>
              <a:cs typeface="Times New Roman" panose="02020603050405020304" charset="0"/>
            </a:endParaRPr>
          </a:p>
        </cdr:txBody>
      </cdr:sp>
    </cdr:grpSp>
  </cdr:relSizeAnchor>
  <cdr:relSizeAnchor xmlns:cdr="http://schemas.openxmlformats.org/drawingml/2006/chartDrawing">
    <cdr:from>
      <cdr:x>0.23639</cdr:x>
      <cdr:y>0.42608</cdr:y>
    </cdr:from>
    <cdr:to>
      <cdr:x>0.41368</cdr:x>
      <cdr:y>0.59106</cdr:y>
    </cdr:to>
    <cdr:grpSp>
      <cdr:nvGrpSpPr>
        <cdr:cNvPr id="5" name="组合 4"/>
        <cdr:cNvGrpSpPr/>
      </cdr:nvGrpSpPr>
      <cdr:grpSpPr xmlns:a="http://schemas.openxmlformats.org/drawingml/2006/main">
        <a:xfrm>
          <a:off x="1462949" y="1251344"/>
          <a:ext cx="1097196" cy="484526"/>
          <a:chOff x="1581151" y="1370482"/>
          <a:chExt cx="1143000" cy="504825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1581151" y="1370482"/>
            <a:ext cx="1143000" cy="504825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20323767">
            <a:off x="1776986" y="1494140"/>
            <a:ext cx="762000" cy="284915"/>
          </a:xfrm>
          <a:prstGeom xmlns:a="http://schemas.openxmlformats.org/drawingml/2006/main" prst="ellipse">
            <a:avLst/>
          </a:prstGeom>
          <a:solidFill>
            <a:srgbClr val="FFC000"/>
          </a:solidFill>
          <a:ln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t" anchorCtr="0">
            <a:normAutofit/>
          </a:bodyPr>
          <a:lstStyle/>
          <a:p>
            <a:r>
              <a:rPr lang="en-US" altLang="zh-CN" sz="1050" baseline="0">
                <a:solidFill>
                  <a:srgbClr val="002060"/>
                </a:solidFill>
                <a:latin typeface="Times New Roman" panose="02020603050405020304" charset="0"/>
                <a:ea typeface="宋体" panose="02010600030101010101" charset="-122"/>
                <a:cs typeface="Times New Roman" panose="02020603050405020304" charset="0"/>
              </a:rPr>
              <a:t>1.1%</a:t>
            </a:r>
            <a:endParaRPr lang="zh-CN" sz="1050" baseline="0">
              <a:solidFill>
                <a:srgbClr val="002060"/>
              </a:solidFill>
              <a:latin typeface="Times New Roman" panose="02020603050405020304" charset="0"/>
              <a:ea typeface="宋体" panose="02010600030101010101" charset="-122"/>
              <a:cs typeface="Times New Roman" panose="02020603050405020304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207</Words>
  <Characters>1183</Characters>
  <Lines>9</Lines>
  <Paragraphs>2</Paragraphs>
  <TotalTime>9</TotalTime>
  <ScaleCrop>false</ScaleCrop>
  <LinksUpToDate>false</LinksUpToDate>
  <CharactersWithSpaces>1388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2024-04-23T06:05:12Z</dcterms:modified>
  <cp:revision>835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26FE9A6B92FA479F8025BCEBA0A3AE0B_12</vt:lpwstr>
  </property>
</Properties>
</file>