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415143481"/>
      <w:bookmarkStart w:id="1" w:name="_Toc517262917"/>
      <w:bookmarkStart w:id="2" w:name="_Toc415142861"/>
      <w:bookmarkStart w:id="3" w:name="OLE_LINK39"/>
      <w:bookmarkStart w:id="4" w:name="_Toc453597319"/>
      <w:bookmarkStart w:id="5" w:name="_Toc438987549"/>
      <w:bookmarkStart w:id="6" w:name="_Toc415818939"/>
      <w:bookmarkStart w:id="7" w:name="OLE_LINK13"/>
      <w:bookmarkStart w:id="8" w:name="OLE_LINK15"/>
      <w:bookmarkStart w:id="9" w:name="_Toc481801204"/>
      <w:bookmarkStart w:id="10" w:name="OLE_LINK40"/>
      <w:bookmarkStart w:id="11" w:name="_Toc418070112"/>
      <w:bookmarkStart w:id="12" w:name="OLE_LINK24"/>
      <w:r>
        <w:rPr>
          <w:lang w:eastAsia="zh-CN"/>
        </w:rPr>
        <w:t>无取向硅钢</w:t>
      </w:r>
      <w:r>
        <w:rPr>
          <w:rFonts w:hint="eastAsia"/>
          <w:lang w:eastAsia="zh-CN"/>
        </w:rPr>
        <w:t>全球市场总体规模</w:t>
      </w:r>
    </w:p>
    <w:p>
      <w:pPr>
        <w:pStyle w:val="145"/>
        <w:rPr>
          <w:lang w:eastAsia="zh-CN"/>
        </w:rPr>
      </w:pPr>
    </w:p>
    <w:p>
      <w:pPr>
        <w:pStyle w:val="145"/>
        <w:rPr>
          <w:lang w:eastAsia="zh-CN"/>
        </w:rPr>
      </w:pPr>
      <w:r>
        <w:rPr>
          <w:lang w:eastAsia="zh-CN"/>
        </w:rPr>
        <w:t>据QYResearch调研团队最新报告“全球无取向硅钢市场报告2023-2029”显示，预计2029年全球无取向硅钢市场规模将达到197.8亿美元，未来几年年复合增长率CAGR为3.2%。</w:t>
      </w:r>
    </w:p>
    <w:p>
      <w:pPr>
        <w:pStyle w:val="145"/>
        <w:rPr>
          <w:lang w:eastAsia="zh-CN"/>
        </w:rPr>
      </w:pPr>
    </w:p>
    <w:p>
      <w:pPr>
        <w:pStyle w:val="148"/>
        <w:rPr>
          <w:lang w:eastAsia="zh-CN"/>
        </w:rPr>
      </w:pPr>
      <w:r>
        <w:rPr>
          <w:lang w:eastAsia="zh-CN"/>
        </w:rPr>
        <w:t>无取向硅钢</w:t>
      </w:r>
      <w:r>
        <w:rPr>
          <w:rFonts w:hint="eastAsia"/>
          <w:lang w:eastAsia="zh-CN"/>
        </w:rPr>
        <w:t>，全球市场总体规模</w:t>
      </w:r>
    </w:p>
    <w:p>
      <w:pPr>
        <w:pStyle w:val="145"/>
      </w:pPr>
      <w:r>
        <w:rPr>
          <w:lang w:val="en-US" w:eastAsia="zh-CN"/>
        </w:rPr>
        <w:drawing>
          <wp:inline distT="0" distB="0" distL="0" distR="0">
            <wp:extent cx="6188710" cy="2936875"/>
            <wp:effectExtent l="0" t="0" r="254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rPr>
          <w:lang w:eastAsia="zh-CN"/>
        </w:rPr>
      </w:pPr>
      <w:r>
        <w:rPr>
          <w:rFonts w:hint="eastAsia"/>
          <w:lang w:eastAsia="zh-CN"/>
        </w:rPr>
        <w:t>如上图表/数据，摘自QYResearch最新报告“全球</w:t>
      </w:r>
      <w:r>
        <w:rPr>
          <w:lang w:eastAsia="zh-CN"/>
        </w:rPr>
        <w:t>无取向硅钢</w:t>
      </w:r>
      <w:r>
        <w:rPr>
          <w:rFonts w:hint="eastAsia"/>
          <w:lang w:eastAsia="zh-CN"/>
        </w:rPr>
        <w:t>市场研究报告2023-2029</w:t>
      </w:r>
      <w:r>
        <w:rPr>
          <w:lang w:eastAsia="zh-CN"/>
        </w:rPr>
        <w:t>.</w:t>
      </w:r>
    </w:p>
    <w:p>
      <w:pPr>
        <w:pStyle w:val="145"/>
        <w:rPr>
          <w:lang w:eastAsia="zh-CN"/>
        </w:rPr>
      </w:pPr>
      <w:r>
        <w:rPr>
          <w:rFonts w:hint="eastAsia"/>
          <w:lang w:eastAsia="zh-CN"/>
        </w:rPr>
        <w:t>无取向硅钢是一种特殊类型的电工用钢材料，通常用于制造电动机、变压器和发电机的核心。与取向电工钢不同，无取向硅钢的晶粒结构在各个方向上都没有特定的取向性。</w:t>
      </w:r>
    </w:p>
    <w:p>
      <w:pPr>
        <w:pStyle w:val="145"/>
        <w:rPr>
          <w:lang w:eastAsia="zh-CN"/>
        </w:rPr>
      </w:pPr>
      <w:r>
        <w:rPr>
          <w:lang w:val="en-US" w:eastAsia="zh-CN"/>
        </w:rPr>
        <w:drawing>
          <wp:inline distT="0" distB="0" distL="0" distR="0">
            <wp:extent cx="3009265" cy="2218690"/>
            <wp:effectExtent l="0" t="0" r="635"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10"/>
                    <a:stretch>
                      <a:fillRect/>
                    </a:stretch>
                  </pic:blipFill>
                  <pic:spPr>
                    <a:xfrm>
                      <a:off x="0" y="0"/>
                      <a:ext cx="3009524" cy="2219048"/>
                    </a:xfrm>
                    <a:prstGeom prst="rect">
                      <a:avLst/>
                    </a:prstGeom>
                  </pic:spPr>
                </pic:pic>
              </a:graphicData>
            </a:graphic>
          </wp:inline>
        </w:drawing>
      </w:r>
    </w:p>
    <w:p>
      <w:pPr>
        <w:pStyle w:val="145"/>
        <w:rPr>
          <w:lang w:eastAsia="zh-CN"/>
        </w:rPr>
      </w:pPr>
    </w:p>
    <w:p>
      <w:pPr>
        <w:pStyle w:val="148"/>
        <w:rPr>
          <w:lang w:eastAsia="zh-CN"/>
        </w:rPr>
      </w:pPr>
      <w:r>
        <w:rPr>
          <w:rFonts w:hint="eastAsia"/>
          <w:lang w:eastAsia="zh-CN"/>
        </w:rPr>
        <w:t>全球</w:t>
      </w:r>
      <w:r>
        <w:rPr>
          <w:lang w:eastAsia="zh-CN"/>
        </w:rPr>
        <w:t>无取向硅钢</w:t>
      </w:r>
      <w:r>
        <w:rPr>
          <w:rFonts w:hint="eastAsia"/>
          <w:lang w:eastAsia="zh-CN"/>
        </w:rPr>
        <w:t>市场前</w:t>
      </w:r>
      <w:r>
        <w:rPr>
          <w:lang w:eastAsia="zh-CN"/>
        </w:rPr>
        <w:t>14</w:t>
      </w:r>
      <w:r>
        <w:rPr>
          <w:rFonts w:hint="eastAsia"/>
          <w:lang w:eastAsia="zh-CN"/>
        </w:rPr>
        <w:t>强生产商排名及市场占有率（持续更新）</w:t>
      </w:r>
    </w:p>
    <w:p>
      <w:pPr>
        <w:widowControl/>
        <w:topLinePunct w:val="0"/>
        <w:spacing w:after="0"/>
        <w:jc w:val="center"/>
        <w:rPr>
          <w:rFonts w:ascii="宋体" w:hAnsi="宋体" w:cs="宋体"/>
          <w:kern w:val="0"/>
          <w:sz w:val="24"/>
          <w:szCs w:val="24"/>
        </w:rPr>
      </w:pPr>
      <w:r>
        <w:drawing>
          <wp:inline distT="0" distB="0" distL="0" distR="0">
            <wp:extent cx="6155690" cy="4399915"/>
            <wp:effectExtent l="0" t="0" r="0" b="63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143"/>
        <w:rPr>
          <w:lang w:eastAsia="zh-CN"/>
        </w:rPr>
      </w:pPr>
      <w:r>
        <w:rPr>
          <w:rFonts w:hint="eastAsia"/>
          <w:lang w:eastAsia="zh-CN"/>
        </w:rPr>
        <w:t>如上图表/数据，摘自QYResearch最新报告“全球</w:t>
      </w:r>
      <w:r>
        <w:rPr>
          <w:lang w:eastAsia="zh-CN"/>
        </w:rPr>
        <w:t>无取向硅钢</w:t>
      </w:r>
      <w:r>
        <w:rPr>
          <w:rFonts w:hint="eastAsia"/>
          <w:lang w:eastAsia="zh-CN"/>
        </w:rPr>
        <w:t>市场研究报告2023-2029</w:t>
      </w:r>
      <w:r>
        <w:rPr>
          <w:lang w:eastAsia="zh-CN"/>
        </w:rPr>
        <w:t>.</w:t>
      </w:r>
    </w:p>
    <w:p>
      <w:pPr>
        <w:pStyle w:val="145"/>
        <w:rPr>
          <w:lang w:eastAsia="zh-CN"/>
        </w:rPr>
      </w:pPr>
      <w:r>
        <w:rPr>
          <w:rFonts w:hint="eastAsia"/>
          <w:lang w:eastAsia="zh-CN"/>
        </w:rPr>
        <w:t>全球范围内无取向硅钢生产商主要包括宝武钢铁、Nippon Steel、首钢集团、鞍钢集团、太钢集团、ThyssenKrupp、JFE Steel、Voestalpine、Posco、CSC等。2022年，全球前五大厂商占有大约53.0%的市场份额。目前，全球核心厂商主要分布在中国、日本、欧洲。</w:t>
      </w:r>
    </w:p>
    <w:p>
      <w:pPr>
        <w:pStyle w:val="148"/>
        <w:rPr>
          <w:lang w:eastAsia="zh-CN"/>
        </w:rPr>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p>
      <w:pPr>
        <w:pStyle w:val="148"/>
        <w:rPr>
          <w:lang w:eastAsia="zh-CN"/>
        </w:rPr>
      </w:pPr>
      <w:r>
        <w:rPr>
          <w:lang w:eastAsia="zh-CN"/>
        </w:rPr>
        <w:t>无取向硅钢</w:t>
      </w:r>
      <w:r>
        <w:rPr>
          <w:rFonts w:hint="eastAsia"/>
          <w:lang w:eastAsia="zh-CN"/>
        </w:rPr>
        <w:t>，全球市场规模，按产品类型细分，半程加工处于主导地位</w:t>
      </w:r>
    </w:p>
    <w:p>
      <w:pPr>
        <w:pStyle w:val="145"/>
        <w:rPr>
          <w:lang w:val="en-US" w:eastAsia="zh-CN"/>
        </w:rPr>
      </w:pPr>
      <w:r>
        <w:rPr>
          <w:lang w:val="en-US" w:eastAsia="zh-CN"/>
        </w:rPr>
        <w:drawing>
          <wp:inline distT="0" distB="0" distL="0" distR="0">
            <wp:extent cx="2870835" cy="3039745"/>
            <wp:effectExtent l="0" t="0" r="5715" b="825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t xml:space="preserve"> </w:t>
      </w:r>
      <w:r>
        <w:rPr>
          <w:lang w:val="en-US" w:eastAsia="zh-CN"/>
        </w:rPr>
        <w:drawing>
          <wp:inline distT="0" distB="0" distL="0" distR="0">
            <wp:extent cx="2870835" cy="3039745"/>
            <wp:effectExtent l="0" t="0" r="5715" b="825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145"/>
        <w:rPr>
          <w:lang w:eastAsia="zh-CN"/>
        </w:rPr>
      </w:pPr>
      <w:r>
        <w:rPr>
          <w:lang w:val="en-US" w:eastAsia="zh-CN"/>
        </w:rPr>
        <w:drawing>
          <wp:inline distT="0" distB="0" distL="0" distR="0">
            <wp:extent cx="6155690" cy="3059430"/>
            <wp:effectExtent l="0" t="0" r="0" b="762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pStyle w:val="143"/>
        <w:rPr>
          <w:lang w:eastAsia="zh-CN"/>
        </w:rPr>
      </w:pPr>
      <w:r>
        <w:rPr>
          <w:rFonts w:hint="eastAsia"/>
          <w:lang w:eastAsia="zh-CN"/>
        </w:rPr>
        <w:t>如上图表/数据，摘自QYResearch最新报告“全球</w:t>
      </w:r>
      <w:r>
        <w:rPr>
          <w:lang w:eastAsia="zh-CN"/>
        </w:rPr>
        <w:t>无取向硅钢</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就产品类型而言，目前半程加工是最主要的细分产品，占据大约</w:t>
      </w:r>
      <w:r>
        <w:rPr>
          <w:lang w:eastAsia="zh-CN"/>
        </w:rPr>
        <w:t>74.2</w:t>
      </w:r>
      <w:r>
        <w:rPr>
          <w:rFonts w:hint="eastAsia"/>
          <w:lang w:eastAsia="zh-CN"/>
        </w:rPr>
        <w:t>%的份额。</w:t>
      </w:r>
    </w:p>
    <w:p>
      <w:pPr>
        <w:pStyle w:val="145"/>
        <w:rPr>
          <w:lang w:val="en-US" w:eastAsia="zh-CN"/>
        </w:rPr>
      </w:pPr>
      <w:r>
        <w:rPr>
          <w:rFonts w:hint="eastAsia"/>
          <w:lang w:eastAsia="zh-CN"/>
        </w:rPr>
        <w:t>就产品类型而言，目前电机是最主要的需求来源，占据大约</w:t>
      </w:r>
      <w:r>
        <w:rPr>
          <w:lang w:eastAsia="zh-CN"/>
        </w:rPr>
        <w:t>39.6</w:t>
      </w:r>
      <w:r>
        <w:rPr>
          <w:rFonts w:hint="eastAsia"/>
          <w:lang w:eastAsia="zh-CN"/>
        </w:rPr>
        <w:t>%的份额。</w:t>
      </w:r>
    </w:p>
    <w:p>
      <w:pPr>
        <w:pStyle w:val="145"/>
        <w:rPr>
          <w:lang w:eastAsia="zh-CN"/>
        </w:rPr>
      </w:pPr>
      <w:r>
        <w:rPr>
          <w:rFonts w:hint="eastAsia"/>
          <w:lang w:eastAsia="zh-CN"/>
        </w:rPr>
        <w:t>主要驱动因素:</w:t>
      </w:r>
    </w:p>
    <w:p>
      <w:pPr>
        <w:pStyle w:val="145"/>
        <w:rPr>
          <w:lang w:eastAsia="zh-CN"/>
        </w:rPr>
      </w:pPr>
      <w:r>
        <w:rPr>
          <w:rFonts w:hint="eastAsia"/>
          <w:lang w:eastAsia="zh-CN"/>
        </w:rPr>
        <w:t>在人口增长、工业化和城市化的推动下，全球电力需求不断增长，是无取向硅钢市场的主要驱动力。随着越来越多的国家投资风能和太阳能等可再生能源，对发电机和逆变器等基于 无取向硅钢的电气设备的需求预计将会上升。工业扩张，特别是新兴经济体的工业扩张，正在推动对电气设备的需求。无取向硅钢在各个行业都有应用，包括汽车、电器、建筑和电子。这些行业的增长，特别是在发展中地区，为无取向硅钢提供了巨大的市场机会。电动汽车的快速普及是无取向硅钢市场的重要推动力。无取向硅钢用于电动汽车的电动机和牵引电机。随着全球脱碳的推动和电动汽车需求的不断增加，无取向硅钢市场预计将出现大幅增长。</w:t>
      </w:r>
    </w:p>
    <w:p>
      <w:pPr>
        <w:pStyle w:val="145"/>
        <w:rPr>
          <w:lang w:eastAsia="zh-CN"/>
        </w:rPr>
      </w:pPr>
      <w:r>
        <w:rPr>
          <w:rFonts w:hint="eastAsia"/>
          <w:lang w:eastAsia="zh-CN"/>
        </w:rPr>
        <w:t>主要阻碍因素:</w:t>
      </w:r>
    </w:p>
    <w:p>
      <w:pPr>
        <w:pStyle w:val="145"/>
        <w:rPr>
          <w:lang w:eastAsia="zh-CN"/>
        </w:rPr>
      </w:pPr>
      <w:r>
        <w:rPr>
          <w:rFonts w:hint="eastAsia"/>
          <w:lang w:eastAsia="zh-CN"/>
        </w:rPr>
        <w:t>原材料（特别是 无取向硅钢生产中使用的铁矿石和其他合金）的成本和可用性可能会波动。原材料价格的波动会影响 无取向硅钢制造商的总体生产成本和盈利能力。经济衰退和波动可能会影响无取向硅钢市场。在经济放缓期间，对电力设备和基础设施项目的需求可能会下降，从而影响对无取向硅钢的需求。</w:t>
      </w:r>
    </w:p>
    <w:p>
      <w:pPr>
        <w:pStyle w:val="145"/>
        <w:rPr>
          <w:lang w:eastAsia="zh-CN"/>
        </w:rPr>
      </w:pPr>
      <w:r>
        <w:rPr>
          <w:rFonts w:hint="eastAsia"/>
          <w:lang w:eastAsia="zh-CN"/>
        </w:rPr>
        <w:t>行业发展机遇:</w:t>
      </w:r>
    </w:p>
    <w:p>
      <w:pPr>
        <w:pStyle w:val="145"/>
        <w:rPr>
          <w:lang w:eastAsia="zh-CN"/>
        </w:rPr>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r>
        <w:rPr>
          <w:rFonts w:hint="eastAsia"/>
          <w:lang w:eastAsia="zh-CN"/>
        </w:rPr>
        <w:t>由于能源、汽车和电器等各行业对电工钢的需求不断增长，无取向硅钢市场正在稳步增长。对电力需求的不断增长，加上基础设施的发展和可再生能源的扩展，正在推动对无取向硅钢的需求。在全球推动碳中和的背景下，汽车电气化正在加速。随着全球环境法规的进一步收紧，用于电动汽车驱动电机的高等级无取向硅钢板产品的需求预计将继续扩大。对此，几乎所有制造商都决定进一步扩大产能，以满足这种不断增长的需求。持续的研究和开发工作集中于提高 无取向硅钢的磁性能和效率。</w:t>
      </w:r>
    </w:p>
    <w:p>
      <w:pPr>
        <w:pStyle w:val="167"/>
        <w:rPr>
          <w:lang w:eastAsia="zh-CN"/>
        </w:rPr>
      </w:pPr>
      <w:bookmarkStart w:id="19" w:name="_GoBack"/>
      <w:r>
        <w:rPr>
          <w:rFonts w:hint="eastAsia"/>
          <w:lang w:eastAsia="zh-CN"/>
        </w:rPr>
        <w:t>本文作者</w:t>
      </w:r>
    </w:p>
    <w:bookmarkEnd w:id="0"/>
    <w:bookmarkEnd w:id="1"/>
    <w:bookmarkEnd w:id="2"/>
    <w:bookmarkEnd w:id="3"/>
    <w:bookmarkEnd w:id="4"/>
    <w:bookmarkEnd w:id="5"/>
    <w:bookmarkEnd w:id="6"/>
    <w:bookmarkEnd w:id="7"/>
    <w:bookmarkEnd w:id="8"/>
    <w:bookmarkEnd w:id="9"/>
    <w:bookmarkEnd w:id="10"/>
    <w:bookmarkEnd w:id="11"/>
    <w:bookmarkEnd w:id="12"/>
    <w:tbl>
      <w:tblPr>
        <w:tblStyle w:val="3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9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 w:hRule="atLeast"/>
        </w:trPr>
        <w:tc>
          <w:tcPr>
            <w:tcW w:w="5000" w:type="pct"/>
            <w:vAlign w:val="center"/>
          </w:tcPr>
          <w:p>
            <w:pPr>
              <w:rPr>
                <w:rFonts w:cs="Times New Roman"/>
                <w:kern w:val="0"/>
                <w:sz w:val="20"/>
                <w:szCs w:val="20"/>
              </w:rPr>
            </w:pPr>
            <w:r>
              <w:rPr>
                <w:rFonts w:hint="eastAsia" w:cs="Times New Roman"/>
                <w:kern w:val="0"/>
                <w:sz w:val="20"/>
                <w:szCs w:val="20"/>
              </w:rPr>
              <w:t>翟吉全</w:t>
            </w:r>
            <w:r>
              <w:rPr>
                <w:rFonts w:cs="Times New Roman"/>
                <w:kern w:val="0"/>
                <w:sz w:val="20"/>
                <w:szCs w:val="20"/>
              </w:rPr>
              <w:t xml:space="preserve"> – </w:t>
            </w:r>
            <w:r>
              <w:rPr>
                <w:rFonts w:hint="eastAsia" w:cs="Times New Roman"/>
                <w:kern w:val="0"/>
                <w:sz w:val="20"/>
                <w:szCs w:val="20"/>
              </w:rPr>
              <w:t>本文主要分析师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 w:hRule="atLeast"/>
        </w:trPr>
        <w:tc>
          <w:tcPr>
            <w:tcW w:w="5000" w:type="pct"/>
            <w:vAlign w:val="center"/>
          </w:tcPr>
          <w:p>
            <w:pPr>
              <w:rPr>
                <w:rFonts w:cs="Times New Roman"/>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 w:hRule="atLeast"/>
        </w:trPr>
        <w:tc>
          <w:tcPr>
            <w:tcW w:w="5000" w:type="pct"/>
            <w:vAlign w:val="center"/>
          </w:tcPr>
          <w:p>
            <w:pPr>
              <w:rPr>
                <w:rFonts w:cs="Times New Roman"/>
                <w:kern w:val="0"/>
                <w:sz w:val="20"/>
                <w:szCs w:val="20"/>
              </w:rPr>
            </w:pPr>
          </w:p>
        </w:tc>
      </w:tr>
    </w:tbl>
    <w:p>
      <w:pPr>
        <w:pStyle w:val="145"/>
        <w:rPr>
          <w:lang w:eastAsia="zh-CN"/>
        </w:rPr>
      </w:pPr>
    </w:p>
    <w:p>
      <w:pPr>
        <w:pStyle w:val="145"/>
        <w:rPr>
          <w:lang w:eastAsia="zh-CN"/>
        </w:rPr>
      </w:pPr>
    </w:p>
    <w:p>
      <w:pPr>
        <w:pStyle w:val="167"/>
        <w:rPr>
          <w:lang w:eastAsia="zh-CN"/>
        </w:rPr>
      </w:pPr>
      <w:r>
        <w:rPr>
          <w:lang w:eastAsia="zh-CN"/>
        </w:rPr>
        <w:t>QYResearch</w:t>
      </w:r>
      <w:r>
        <w:rPr>
          <w:rFonts w:hint="eastAsia"/>
          <w:lang w:eastAsia="zh-CN"/>
        </w:rPr>
        <w:t>企业简介</w:t>
      </w:r>
    </w:p>
    <w:p>
      <w:pPr>
        <w:pStyle w:val="145"/>
        <w:rPr>
          <w:lang w:eastAsia="zh-CN"/>
        </w:rPr>
      </w:pPr>
      <w:r>
        <w:rPr>
          <w:rFonts w:hint="eastAsia"/>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lang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bookmarkStart w:id="13" w:name="_Hlk149300692"/>
    <w:bookmarkStart w:id="14" w:name="_Hlk149300691"/>
    <w:bookmarkStart w:id="15" w:name="_Hlk149300687"/>
    <w:bookmarkStart w:id="16" w:name="_Hlk149300689"/>
    <w:bookmarkStart w:id="17" w:name="_Hlk149300688"/>
    <w:bookmarkStart w:id="18" w:name="_Hlk149300690"/>
    <w:r>
      <w:t xml:space="preserve">Copyright © QYResearch | market@qyresearch.com | </w:t>
    </w:r>
    <w:bookmarkEnd w:id="13"/>
    <w:bookmarkEnd w:id="14"/>
    <w:bookmarkEnd w:id="15"/>
    <w:bookmarkEnd w:id="16"/>
    <w:bookmarkEnd w:id="17"/>
    <w:bookmarkEnd w:id="18"/>
    <w: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4098"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4097"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3,4"/>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1DA"/>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03"/>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223"/>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3F"/>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811"/>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3C"/>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9D8"/>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380"/>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5AF"/>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40E76C6C"/>
    <w:rsid w:val="410F6B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目录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image" Target="media/image3.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2.xml"/><Relationship Id="rId3" Type="http://schemas.microsoft.com/office/2011/relationships/chartStyle" Target="style2.xml"/><Relationship Id="rId2" Type="http://schemas.openxmlformats.org/officeDocument/2006/relationships/chartUserShapes" Target="../drawings/drawing1.xml"/><Relationship Id="rId1" Type="http://schemas.openxmlformats.org/officeDocument/2006/relationships/oleObject" Target="file:///C:\Users\hengzhoubz\Desktop\&#35266;&#28857;&#25968;&#25454;&#22270;&#34920;&#27169;&#26495;-20231008%20&#20026;&#20934;%20-%20&#21103;&#26412;.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hengzhoubz\Desktop\&#35266;&#28857;&#25968;&#25454;&#22270;&#34920;&#27169;&#26495;-20231008%20&#20026;&#20934;%20-%20&#21103;&#26412;.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hengzhoubz\Desktop\&#35266;&#28857;&#25968;&#25454;&#22270;&#34920;&#27169;&#26495;-20231008%20&#20026;&#20934;%20-%20&#21103;&#26412;.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hengzhoubz\Desktop\&#35266;&#28857;&#25968;&#25454;&#22270;&#34920;&#27169;&#26495;-20231008%20&#20026;&#20934;%20-%20&#21103;&#26412;.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hengzhoubz\Desktop\&#35266;&#28857;&#25968;&#25454;&#22270;&#34920;&#27169;&#26495;-20231008%20&#20026;&#20934;%20-%20&#21103;&#2641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zh-CN" altLang="en-US" sz="1100">
                <a:latin typeface="Book Antiqua" panose="02040602050305030304" pitchFamily="1" charset="0"/>
              </a:rPr>
              <a:t>全球规模（百万美元）</a:t>
            </a:r>
            <a:endParaRPr lang="en-US" altLang="zh-CN" sz="11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254884259259259"/>
          <c:y val="0.131440849673203"/>
          <c:w val="0.937283950617284"/>
          <c:h val="0.793030392156863"/>
        </c:manualLayout>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全球总体!$B$21:$D$21</c:f>
              <c:numCache>
                <c:formatCode>General</c:formatCode>
                <c:ptCount val="3"/>
                <c:pt idx="0">
                  <c:v>2018</c:v>
                </c:pt>
                <c:pt idx="1">
                  <c:v>2022</c:v>
                </c:pt>
                <c:pt idx="2">
                  <c:v>2029</c:v>
                </c:pt>
              </c:numCache>
            </c:numRef>
          </c:cat>
          <c:val>
            <c:numRef>
              <c:f>全球总体!$B$22:$D$22</c:f>
              <c:numCache>
                <c:formatCode>#,##0_ </c:formatCode>
                <c:ptCount val="3"/>
                <c:pt idx="0">
                  <c:v>11778.8</c:v>
                </c:pt>
                <c:pt idx="1">
                  <c:v>16225.7</c:v>
                </c:pt>
                <c:pt idx="2">
                  <c:v>19776.5</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Lbls>
            <c:delete val="1"/>
          </c:dLbls>
          <c:cat>
            <c:strRef>
              <c:f>企业排序!$F$2:$F$15</c:f>
              <c:strCache>
                <c:ptCount val="14"/>
                <c:pt idx="0">
                  <c:v>宝武钢铁</c:v>
                </c:pt>
                <c:pt idx="1">
                  <c:v>Nippon Steel</c:v>
                </c:pt>
                <c:pt idx="2">
                  <c:v>首钢集团</c:v>
                </c:pt>
                <c:pt idx="3">
                  <c:v>鞍钢集团</c:v>
                </c:pt>
                <c:pt idx="4">
                  <c:v>太钢集团</c:v>
                </c:pt>
                <c:pt idx="5">
                  <c:v>ThyssenKrupp</c:v>
                </c:pt>
                <c:pt idx="6">
                  <c:v>JFE Steel</c:v>
                </c:pt>
                <c:pt idx="7">
                  <c:v>Voestalpine</c:v>
                </c:pt>
                <c:pt idx="8">
                  <c:v>Posco</c:v>
                </c:pt>
                <c:pt idx="9">
                  <c:v>CSC</c:v>
                </c:pt>
                <c:pt idx="10">
                  <c:v>AK Steel (Cleveland-Cliffs)</c:v>
                </c:pt>
                <c:pt idx="11">
                  <c:v>NLMK</c:v>
                </c:pt>
                <c:pt idx="12">
                  <c:v>ArcelorMittal</c:v>
                </c:pt>
                <c:pt idx="13">
                  <c:v>本溪钢铁</c:v>
                </c:pt>
              </c:strCache>
            </c:strRef>
          </c:cat>
          <c:val>
            <c:numRef>
              <c:f>企业排序!$G$2:$G$15</c:f>
              <c:numCache>
                <c:formatCode>#,##0.00_ </c:formatCode>
                <c:ptCount val="14"/>
                <c:pt idx="0">
                  <c:v>3740.5</c:v>
                </c:pt>
                <c:pt idx="1">
                  <c:v>1409.2</c:v>
                </c:pt>
                <c:pt idx="2">
                  <c:v>1203.9</c:v>
                </c:pt>
                <c:pt idx="3">
                  <c:v>1106.1</c:v>
                </c:pt>
                <c:pt idx="4">
                  <c:v>1072.1</c:v>
                </c:pt>
                <c:pt idx="5">
                  <c:v>954.3</c:v>
                </c:pt>
                <c:pt idx="6">
                  <c:v>898.8</c:v>
                </c:pt>
                <c:pt idx="7">
                  <c:v>563.8</c:v>
                </c:pt>
                <c:pt idx="8">
                  <c:v>510.6</c:v>
                </c:pt>
                <c:pt idx="9">
                  <c:v>434.1</c:v>
                </c:pt>
                <c:pt idx="10">
                  <c:v>279.8</c:v>
                </c:pt>
                <c:pt idx="11">
                  <c:v>254.5</c:v>
                </c:pt>
                <c:pt idx="12">
                  <c:v>185.5</c:v>
                </c:pt>
                <c:pt idx="13">
                  <c:v>130.1</c:v>
                </c:pt>
              </c:numCache>
            </c:numRef>
          </c:val>
        </c:ser>
        <c:dLbls>
          <c:showLegendKey val="0"/>
          <c:showVal val="0"/>
          <c:showCatName val="0"/>
          <c:showSerName val="0"/>
          <c:showPercent val="0"/>
          <c:showBubbleSize val="0"/>
        </c:dLbls>
        <c:gapWidth val="7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2022</a:t>
            </a:r>
            <a:endParaRPr lang="en-US" altLang="zh-CN">
              <a:latin typeface="Book Antiqua" panose="02040602050305030304" pitchFamily="1" charset="0"/>
            </a:endParaRPr>
          </a:p>
        </c:rich>
      </c:tx>
      <c:layout>
        <c:manualLayout>
          <c:xMode val="edge"/>
          <c:yMode val="edge"/>
          <c:x val="0.422883586134348"/>
          <c:y val="0.473483795515742"/>
        </c:manualLayout>
      </c:layout>
      <c:overlay val="0"/>
      <c:spPr>
        <a:noFill/>
        <a:ln>
          <a:noFill/>
        </a:ln>
        <a:effectLst/>
      </c:spPr>
    </c:title>
    <c:autoTitleDeleted val="0"/>
    <c:plotArea>
      <c:layout/>
      <c:doughnutChart>
        <c:varyColors val="1"/>
        <c:ser>
          <c:idx val="0"/>
          <c:order val="0"/>
          <c:tx>
            <c:strRef>
              <c:f>分类!$AF$1</c:f>
              <c:strCache>
                <c:ptCount val="1"/>
                <c:pt idx="0">
                  <c:v>2022</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分类!$R$40:$R$48</c:f>
              <c:strCache>
                <c:ptCount val="2"/>
                <c:pt idx="0">
                  <c:v>半程加工</c:v>
                </c:pt>
                <c:pt idx="1">
                  <c:v>全程加工</c:v>
                </c:pt>
              </c:strCache>
            </c:strRef>
          </c:cat>
          <c:val>
            <c:numRef>
              <c:f>分类!$AF$40:$AF$48</c:f>
              <c:numCache>
                <c:formatCode>0.0%</c:formatCode>
                <c:ptCount val="2"/>
                <c:pt idx="0">
                  <c:v>0.741632102158921</c:v>
                </c:pt>
                <c:pt idx="1">
                  <c:v>0.258367897841079</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2029</a:t>
            </a:r>
            <a:endParaRPr lang="en-US" altLang="zh-CN">
              <a:latin typeface="Book Antiqua" panose="02040602050305030304" pitchFamily="1" charset="0"/>
            </a:endParaRPr>
          </a:p>
        </c:rich>
      </c:tx>
      <c:layout>
        <c:manualLayout>
          <c:xMode val="edge"/>
          <c:yMode val="edge"/>
          <c:x val="0.429878066834214"/>
          <c:y val="0.47766177755042"/>
        </c:manualLayout>
      </c:layout>
      <c:overlay val="0"/>
      <c:spPr>
        <a:noFill/>
        <a:ln>
          <a:noFill/>
        </a:ln>
        <a:effectLst/>
      </c:spPr>
    </c:title>
    <c:autoTitleDeleted val="0"/>
    <c:plotArea>
      <c:layout/>
      <c:doughnutChart>
        <c:varyColors val="1"/>
        <c:ser>
          <c:idx val="0"/>
          <c:order val="0"/>
          <c:tx>
            <c:strRef>
              <c:f>分类!$AG$1</c:f>
              <c:strCache>
                <c:ptCount val="1"/>
                <c:pt idx="0">
                  <c:v>2029</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分类!$R$40:$R$48</c:f>
              <c:strCache>
                <c:ptCount val="2"/>
                <c:pt idx="0">
                  <c:v>半程加工</c:v>
                </c:pt>
                <c:pt idx="1">
                  <c:v>全程加工</c:v>
                </c:pt>
              </c:strCache>
            </c:strRef>
          </c:cat>
          <c:val>
            <c:numRef>
              <c:f>分类!$AG$40:$AG$48</c:f>
              <c:numCache>
                <c:formatCode>0.0%</c:formatCode>
                <c:ptCount val="2"/>
                <c:pt idx="0">
                  <c:v>0.640077870199479</c:v>
                </c:pt>
                <c:pt idx="1">
                  <c:v>0.359922129800521</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分类!$R$40</c:f>
              <c:strCache>
                <c:ptCount val="1"/>
                <c:pt idx="0">
                  <c:v>半程加工</c:v>
                </c:pt>
              </c:strCache>
            </c:strRef>
          </c:tx>
          <c:spPr>
            <a:solidFill>
              <a:srgbClr val="002060"/>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分类!$S$40:$AD$40</c:f>
              <c:numCache>
                <c:formatCode>0.0%</c:formatCode>
                <c:ptCount val="12"/>
                <c:pt idx="0">
                  <c:v>0.833055998913302</c:v>
                </c:pt>
                <c:pt idx="1">
                  <c:v>0.822657881777581</c:v>
                </c:pt>
                <c:pt idx="2">
                  <c:v>0.813455008488964</c:v>
                </c:pt>
                <c:pt idx="3">
                  <c:v>0.803951188044296</c:v>
                </c:pt>
                <c:pt idx="4">
                  <c:v>0.741632102158921</c:v>
                </c:pt>
                <c:pt idx="5">
                  <c:v>0.740521067004779</c:v>
                </c:pt>
                <c:pt idx="6">
                  <c:v>0.727716994894238</c:v>
                </c:pt>
                <c:pt idx="7">
                  <c:v>0.715341081969208</c:v>
                </c:pt>
                <c:pt idx="8">
                  <c:v>0.694120149223703</c:v>
                </c:pt>
                <c:pt idx="9">
                  <c:v>0.672730928277608</c:v>
                </c:pt>
                <c:pt idx="10">
                  <c:v>0.654901486154606</c:v>
                </c:pt>
                <c:pt idx="11">
                  <c:v>0.640077870199479</c:v>
                </c:pt>
              </c:numCache>
            </c:numRef>
          </c:val>
        </c:ser>
        <c:ser>
          <c:idx val="1"/>
          <c:order val="1"/>
          <c:tx>
            <c:strRef>
              <c:f>分类!$R$41</c:f>
              <c:strCache>
                <c:ptCount val="1"/>
                <c:pt idx="0">
                  <c:v>全程加工</c:v>
                </c:pt>
              </c:strCache>
            </c:strRef>
          </c:tx>
          <c:spPr>
            <a:solidFill>
              <a:schemeClr val="bg1">
                <a:lumMod val="50000"/>
              </a:schemeClr>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分类!$S$41:$AD$41</c:f>
              <c:numCache>
                <c:formatCode>0.0%</c:formatCode>
                <c:ptCount val="12"/>
                <c:pt idx="0">
                  <c:v>0.166944001086698</c:v>
                </c:pt>
                <c:pt idx="1">
                  <c:v>0.177342118222418</c:v>
                </c:pt>
                <c:pt idx="2">
                  <c:v>0.186544991511036</c:v>
                </c:pt>
                <c:pt idx="3">
                  <c:v>0.196048811955704</c:v>
                </c:pt>
                <c:pt idx="4">
                  <c:v>0.258367897841079</c:v>
                </c:pt>
                <c:pt idx="5">
                  <c:v>0.259478932995221</c:v>
                </c:pt>
                <c:pt idx="6">
                  <c:v>0.272283005105762</c:v>
                </c:pt>
                <c:pt idx="7">
                  <c:v>0.284658918030792</c:v>
                </c:pt>
                <c:pt idx="8">
                  <c:v>0.305879850776297</c:v>
                </c:pt>
                <c:pt idx="9">
                  <c:v>0.327269071722392</c:v>
                </c:pt>
                <c:pt idx="10">
                  <c:v>0.345098513845394</c:v>
                </c:pt>
                <c:pt idx="11">
                  <c:v>0.359922129800521</c:v>
                </c:pt>
              </c:numCache>
            </c:numRef>
          </c:val>
        </c:ser>
        <c:ser>
          <c:idx val="2"/>
          <c:order val="2"/>
          <c:tx>
            <c:strRef>
              <c:f>分类!$R$42</c:f>
              <c:strCache>
                <c:ptCount val="1"/>
                <c:pt idx="0">
                  <c:v>分类3</c:v>
                </c:pt>
              </c:strCache>
            </c:strRef>
          </c:tx>
          <c:spPr>
            <a:solidFill>
              <a:srgbClr val="0070C0"/>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分类!$S$42:$AD$42</c:f>
            </c:numRef>
          </c:val>
        </c:ser>
        <c:ser>
          <c:idx val="3"/>
          <c:order val="3"/>
          <c:tx>
            <c:strRef>
              <c:f>分类!$R$43</c:f>
              <c:strCache>
                <c:ptCount val="1"/>
                <c:pt idx="0">
                  <c:v>0.0%</c:v>
                </c:pt>
              </c:strCache>
            </c:strRef>
          </c:tx>
          <c:spPr>
            <a:solidFill>
              <a:srgbClr val="FFC000"/>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分类!$S$43:$AD$43</c:f>
            </c:numRef>
          </c:val>
        </c:ser>
        <c:ser>
          <c:idx val="4"/>
          <c:order val="4"/>
          <c:tx>
            <c:strRef>
              <c:f>分类!$R$44</c:f>
              <c:strCache>
                <c:ptCount val="1"/>
                <c:pt idx="0">
                  <c:v>0.0%</c:v>
                </c:pt>
              </c:strCache>
            </c:strRef>
          </c:tx>
          <c:spPr>
            <a:solidFill>
              <a:schemeClr val="tx1">
                <a:lumMod val="65000"/>
                <a:lumOff val="35000"/>
              </a:schemeClr>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分类!$S$44:$AD$44</c:f>
            </c:numRef>
          </c:val>
        </c:ser>
        <c:ser>
          <c:idx val="5"/>
          <c:order val="5"/>
          <c:tx>
            <c:strRef>
              <c:f>分类!$R$45</c:f>
              <c:strCache>
                <c:ptCount val="1"/>
                <c:pt idx="0">
                  <c:v>0.0%</c:v>
                </c:pt>
              </c:strCache>
            </c:strRef>
          </c:tx>
          <c:spPr>
            <a:solidFill>
              <a:srgbClr val="C00000"/>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分类!$S$45:$AD$45</c:f>
            </c:numRef>
          </c:val>
        </c:ser>
        <c:ser>
          <c:idx val="6"/>
          <c:order val="6"/>
          <c:tx>
            <c:strRef>
              <c:f>分类!$R$46</c:f>
              <c:strCache>
                <c:ptCount val="1"/>
                <c:pt idx="0">
                  <c:v>0.0%</c:v>
                </c:pt>
              </c:strCache>
            </c:strRef>
          </c:tx>
          <c:spPr>
            <a:solidFill>
              <a:srgbClr val="7030A0"/>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分类!$S$46:$AD$46</c:f>
            </c:numRef>
          </c:val>
        </c:ser>
        <c:ser>
          <c:idx val="7"/>
          <c:order val="7"/>
          <c:tx>
            <c:strRef>
              <c:f>分类!$R$47</c:f>
              <c:strCache>
                <c:ptCount val="1"/>
                <c:pt idx="0">
                  <c:v>0.0%</c:v>
                </c:pt>
              </c:strCache>
            </c:strRef>
          </c:tx>
          <c:spPr>
            <a:solidFill>
              <a:schemeClr val="tx2">
                <a:lumMod val="60000"/>
                <a:lumOff val="40000"/>
              </a:schemeClr>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分类!$S$47:$AD$47</c:f>
            </c:numRef>
          </c:val>
        </c:ser>
        <c:ser>
          <c:idx val="8"/>
          <c:order val="8"/>
          <c:tx>
            <c:strRef>
              <c:f>分类!$R$48</c:f>
              <c:strCache>
                <c:ptCount val="1"/>
                <c:pt idx="0">
                  <c:v>0.0%</c:v>
                </c:pt>
              </c:strCache>
            </c:strRef>
          </c:tx>
          <c:spPr>
            <a:solidFill>
              <a:schemeClr val="accent6">
                <a:lumMod val="75000"/>
              </a:schemeClr>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分类!$S$48:$AD$48</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0.56438</cdr:x>
      <cdr:y>0.20544</cdr:y>
    </cdr:from>
    <cdr:to>
      <cdr:x>0.71656</cdr:x>
      <cdr:y>0.4887</cdr:y>
    </cdr:to>
    <cdr:grpSp>
      <cdr:nvGrpSpPr>
        <cdr:cNvPr id="2" name="组合 1"/>
        <cdr:cNvGrpSpPr/>
      </cdr:nvGrpSpPr>
      <cdr:grpSpPr xmlns:a="http://schemas.openxmlformats.org/drawingml/2006/main">
        <a:xfrm rot="2519721">
          <a:off x="3492784" y="603352"/>
          <a:ext cx="941798" cy="831899"/>
          <a:chOff x="2917796" y="1142736"/>
          <a:chExt cx="642584" cy="683404"/>
        </a:xfrm>
        <a:solidFill>
          <a:srgbClr val="FFC000"/>
        </a:solidFill>
      </cdr:grpSpPr>
      <cdr:cxnSp>
        <cdr:nvCxnSpPr>
          <cdr:cNvPr id="3" name="直接箭头连接符 2"/>
          <cdr:cNvCxnSpPr/>
        </cdr:nvCxnSpPr>
        <cdr:spPr xmlns:a="http://schemas.openxmlformats.org/drawingml/2006/main">
          <a:xfrm xmlns:a="http://schemas.openxmlformats.org/drawingml/2006/main" rot="21160045" flipV="1">
            <a:off x="2917796" y="1142736"/>
            <a:ext cx="642584" cy="683404"/>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8649119">
            <a:off x="2938946" y="1387103"/>
            <a:ext cx="610543" cy="197669"/>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solidFill>
                  <a:sysClr val="windowText" lastClr="000000"/>
                </a:solidFill>
                <a:latin typeface="+mn-lt"/>
                <a:ea typeface="宋体" panose="02010600030101010101" charset="-122"/>
              </a:rPr>
              <a:t>3.2%</a:t>
            </a:r>
            <a:endParaRPr lang="zh-CN" baseline="0">
              <a:solidFill>
                <a:sysClr val="windowText" lastClr="000000"/>
              </a:solidFill>
              <a:latin typeface="+mn-lt"/>
              <a:ea typeface="宋体" panose="02010600030101010101" charset="-122"/>
            </a:endParaRPr>
          </a:p>
        </cdr:txBody>
      </cdr:sp>
    </cdr:grpSp>
  </cdr:relSizeAnchor>
  <cdr:relSizeAnchor xmlns:cdr="http://schemas.openxmlformats.org/drawingml/2006/chartDrawing">
    <cdr:from>
      <cdr:x>0.23548</cdr:x>
      <cdr:y>0.47455</cdr:y>
    </cdr:from>
    <cdr:to>
      <cdr:x>0.42755</cdr:x>
      <cdr:y>0.74266</cdr:y>
    </cdr:to>
    <cdr:grpSp>
      <cdr:nvGrpSpPr>
        <cdr:cNvPr id="5" name="组合 4"/>
        <cdr:cNvGrpSpPr/>
      </cdr:nvGrpSpPr>
      <cdr:grpSpPr xmlns:a="http://schemas.openxmlformats.org/drawingml/2006/main">
        <a:xfrm rot="1783323">
          <a:off x="1457317" y="1393694"/>
          <a:ext cx="1188666" cy="787406"/>
          <a:chOff x="3073551" y="1601306"/>
          <a:chExt cx="984923" cy="829966"/>
        </a:xfrm>
      </cdr:grpSpPr>
      <cdr:cxnSp>
        <cdr:nvCxnSpPr>
          <cdr:cNvPr id="6" name="直接箭头连接符 5"/>
          <cdr:cNvCxnSpPr/>
        </cdr:nvCxnSpPr>
        <cdr:spPr xmlns:a="http://schemas.openxmlformats.org/drawingml/2006/main">
          <a:xfrm xmlns:a="http://schemas.openxmlformats.org/drawingml/2006/main" rot="19816677" flipV="1">
            <a:off x="3073551" y="1788081"/>
            <a:ext cx="984923" cy="432476"/>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8604715">
            <a:off x="3129479" y="1902982"/>
            <a:ext cx="829966" cy="226614"/>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a:solidFill>
                  <a:sysClr val="windowText" lastClr="000000"/>
                </a:solidFill>
              </a:rPr>
              <a:t>8.3%</a:t>
            </a:r>
            <a:endParaRPr lang="zh-CN">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Info spid="_x0000_s4098"/>
    <customShpInfo spid="_x0000_s40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978F30A-511A-4441-8017-741CF8DE0AD4}">
  <ds:schemaRefs/>
</ds:datastoreItem>
</file>

<file path=docProps/app.xml><?xml version="1.0" encoding="utf-8"?>
<Properties xmlns="http://schemas.openxmlformats.org/officeDocument/2006/extended-properties" xmlns:vt="http://schemas.openxmlformats.org/officeDocument/2006/docPropsVTypes">
  <Template>Normal</Template>
  <Pages>8</Pages>
  <Words>311</Words>
  <Characters>1779</Characters>
  <Lines>14</Lines>
  <Paragraphs>4</Paragraphs>
  <TotalTime>654</TotalTime>
  <ScaleCrop>false</ScaleCrop>
  <LinksUpToDate>false</LinksUpToDate>
  <CharactersWithSpaces>2086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*星*空夜@话</cp:lastModifiedBy>
  <dcterms:modified xsi:type="dcterms:W3CDTF">2024-01-02T06:18:05Z</dcterms:modified>
  <cp:revision>809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1A6F1DFBADDD4F9A8E80CBD887E92F93_12</vt:lpwstr>
  </property>
</Properties>
</file>