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13" w:name="_GoBack"/>
      <w:bookmarkStart w:id="0" w:name="_Toc418070112"/>
      <w:bookmarkStart w:id="1" w:name="_Toc415142861"/>
      <w:bookmarkStart w:id="2" w:name="OLE_LINK24"/>
      <w:bookmarkStart w:id="3" w:name="OLE_LINK39"/>
      <w:bookmarkStart w:id="4" w:name="_Toc453597319"/>
      <w:bookmarkStart w:id="5" w:name="OLE_LINK15"/>
      <w:bookmarkStart w:id="6" w:name="_Toc481801204"/>
      <w:bookmarkStart w:id="7" w:name="_Toc438987549"/>
      <w:bookmarkStart w:id="8" w:name="_Toc517262917"/>
      <w:bookmarkStart w:id="9" w:name="OLE_LINK40"/>
      <w:bookmarkStart w:id="10" w:name="_Toc415818939"/>
      <w:bookmarkStart w:id="11" w:name="_Toc415143481"/>
      <w:bookmarkStart w:id="12" w:name="OLE_LINK13"/>
      <w:r>
        <w:rPr>
          <w:rFonts w:hint="eastAsia"/>
          <w:lang w:eastAsia="zh-CN"/>
        </w:rPr>
        <w:t>电动充气船全球市场总体规模</w:t>
      </w:r>
    </w:p>
    <w:bookmarkEnd w:id="13"/>
    <w:p>
      <w:r>
        <w:drawing>
          <wp:inline distT="0" distB="0" distL="0" distR="0">
            <wp:extent cx="4118610" cy="2275205"/>
            <wp:effectExtent l="0" t="0" r="15240" b="10795"/>
            <wp:docPr id="13124" name="图片 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 name="图片 48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4118610" cy="2275205"/>
                    </a:xfrm>
                    <a:prstGeom prst="rect">
                      <a:avLst/>
                    </a:prstGeom>
                    <a:noFill/>
                    <a:ln>
                      <a:noFill/>
                    </a:ln>
                  </pic:spPr>
                </pic:pic>
              </a:graphicData>
            </a:graphic>
          </wp:inline>
        </w:drawing>
      </w:r>
    </w:p>
    <w:p>
      <w:r>
        <w:rPr>
          <w:rFonts w:hint="eastAsia"/>
        </w:rPr>
        <w:t>据QYResearch调研团队最新报告“全球电动充气船市场报告2023-2029”显示，预计2029年全球电动充气船市场规模将达到0.4亿美元，未来几年年复合增长率CAGR为7.0%。</w:t>
      </w:r>
    </w:p>
    <w:p>
      <w:pPr>
        <w:pStyle w:val="145"/>
        <w:rPr>
          <w:lang w:eastAsia="zh-CN"/>
        </w:rPr>
      </w:pPr>
    </w:p>
    <w:p>
      <w:pPr>
        <w:pStyle w:val="148"/>
      </w:pPr>
      <w:r>
        <w:rPr>
          <w:rFonts w:hint="eastAsia"/>
          <w:lang w:eastAsia="zh-CN"/>
        </w:rPr>
        <w:t>电动充气船，全球市场总体规模，预计2</w:t>
      </w:r>
      <w:r>
        <w:rPr>
          <w:lang w:eastAsia="zh-CN"/>
        </w:rPr>
        <w:t>029</w:t>
      </w:r>
      <w:r>
        <w:rPr>
          <w:rFonts w:hint="eastAsia"/>
          <w:lang w:eastAsia="zh-CN"/>
        </w:rPr>
        <w:t>年达到</w:t>
      </w:r>
      <w:r>
        <w:rPr>
          <w:rFonts w:hint="eastAsia"/>
          <w:lang w:val="en-US" w:eastAsia="zh-CN"/>
        </w:rPr>
        <w:t>0.4</w:t>
      </w:r>
      <w:r>
        <w:rPr>
          <w:rFonts w:hint="eastAsia"/>
          <w:lang w:eastAsia="zh-CN"/>
        </w:rPr>
        <w:t>亿美元</w:t>
      </w:r>
    </w:p>
    <w:p>
      <w:pPr>
        <w:pStyle w:val="145"/>
      </w:pPr>
      <w:r>
        <w:drawing>
          <wp:inline distT="0" distB="0" distL="114300" distR="114300">
            <wp:extent cx="6188710" cy="2936240"/>
            <wp:effectExtent l="0" t="0" r="2540" b="546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电动充气船</w:t>
      </w:r>
      <w:r>
        <w:rPr>
          <w:rFonts w:hint="eastAsia"/>
        </w:rPr>
        <w:t>市场研究报告2023-2029</w:t>
      </w:r>
      <w:r>
        <w:t>.</w:t>
      </w:r>
    </w:p>
    <w:p>
      <w:pPr>
        <w:pStyle w:val="145"/>
      </w:pPr>
    </w:p>
    <w:p>
      <w:pPr>
        <w:pStyle w:val="148"/>
        <w:rPr>
          <w:lang w:eastAsia="zh-CN"/>
        </w:rPr>
      </w:pPr>
      <w:r>
        <w:rPr>
          <w:rFonts w:hint="eastAsia"/>
          <w:lang w:eastAsia="zh-CN"/>
        </w:rPr>
        <w:t>全球电动充气船市场前</w:t>
      </w:r>
      <w:r>
        <w:rPr>
          <w:rFonts w:hint="eastAsia"/>
          <w:lang w:val="en-US" w:eastAsia="zh-CN"/>
        </w:rPr>
        <w:t>11</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114300" distR="114300">
            <wp:extent cx="4572000" cy="3647440"/>
            <wp:effectExtent l="0" t="0" r="0" b="10160"/>
            <wp:docPr id="1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电动充气船</w:t>
      </w:r>
      <w:r>
        <w:rPr>
          <w:rFonts w:hint="eastAsia"/>
        </w:rPr>
        <w:t>市场研究报告2023-2029</w:t>
      </w:r>
      <w:r>
        <w:rPr>
          <w:rFonts w:hint="eastAsia"/>
          <w:lang w:eastAsia="zh-CN"/>
        </w:rPr>
        <w:t>中的2</w:t>
      </w:r>
      <w:r>
        <w:rPr>
          <w:lang w:eastAsia="zh-CN"/>
        </w:rPr>
        <w:t>021</w:t>
      </w:r>
      <w:r>
        <w:rPr>
          <w:rFonts w:hint="eastAsia"/>
          <w:lang w:eastAsia="zh-CN"/>
        </w:rPr>
        <w:t>年数据</w:t>
      </w:r>
      <w:r>
        <w:t>.</w:t>
      </w:r>
    </w:p>
    <w:p>
      <w:pPr>
        <w:pStyle w:val="145"/>
        <w:rPr>
          <w:rFonts w:hint="eastAsia"/>
          <w:lang w:eastAsia="zh-CN"/>
        </w:rPr>
      </w:pPr>
      <w:r>
        <w:rPr>
          <w:rFonts w:hint="eastAsia"/>
          <w:lang w:eastAsia="zh-CN"/>
        </w:rPr>
        <w:t>全球范围内电动充气船生产商主要包括RS Electric Boats、Excel Boats、ASIS Boats、Zodiac、Aquawatt、Aqua Marina、Highfield Boats、Naviwatt、Tornado Boats、Sunfloat等。2021年，全球前五大厂商占有大约412.0%的市场份额。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2023全球与中国电动充气船市场专精特新“小巨人”企业调研报告</w:t>
      </w:r>
    </w:p>
    <w:p>
      <w:pPr>
        <w:pStyle w:val="145"/>
        <w:rPr>
          <w:rFonts w:hint="eastAsia"/>
          <w:lang w:eastAsia="zh-CN"/>
        </w:rPr>
      </w:pPr>
      <w:r>
        <w:rPr>
          <w:rFonts w:hint="eastAsia"/>
          <w:lang w:eastAsia="zh-CN"/>
        </w:rPr>
        <w:t>根据研究团队调研统计，2022年全球电动充气船市场销售额达到了1.3亿元，预计2029年将达到2.7亿元，年复合增长率（CAGR）为11.1%（2023-2029）。中国市场在过去几年变化较快，2022年市场规模为 亿元，约占全球的 %，预计2029年将达到 亿元，届时全球占比将达到 %。</w:t>
      </w:r>
    </w:p>
    <w:p>
      <w:pPr>
        <w:pStyle w:val="145"/>
        <w:rPr>
          <w:rFonts w:hint="eastAsia"/>
          <w:lang w:eastAsia="zh-CN"/>
        </w:rPr>
      </w:pPr>
      <w:r>
        <w:rPr>
          <w:rFonts w:hint="eastAsia"/>
          <w:lang w:eastAsia="zh-CN"/>
        </w:rPr>
        <w:t>全球提供电动充气船（Electric Inflatable Boats）的核心厂商包括Excel Boats和Aqua Marina等，前两大厂商占有全球约50%的市场份额。欧洲是全球最大的市场，占有大约41%的市场份额，之后是北美和亚太地区，分别占比30%和25%。</w:t>
      </w:r>
    </w:p>
    <w:p>
      <w:pPr>
        <w:pStyle w:val="145"/>
        <w:rPr>
          <w:rFonts w:hint="eastAsia"/>
          <w:lang w:eastAsia="zh-CN"/>
        </w:rPr>
      </w:pPr>
      <w:r>
        <w:rPr>
          <w:rFonts w:hint="eastAsia"/>
          <w:lang w:eastAsia="zh-CN"/>
        </w:rPr>
        <w:t>本文侧重研究全球电动充气船总体规模及主要厂商占有率和排名，主要统计指标包括电动充气船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Aqua Marina</w:t>
      </w:r>
    </w:p>
    <w:p>
      <w:pPr>
        <w:pStyle w:val="145"/>
        <w:rPr>
          <w:rFonts w:hint="eastAsia"/>
          <w:lang w:eastAsia="zh-CN"/>
        </w:rPr>
      </w:pPr>
      <w:r>
        <w:rPr>
          <w:rFonts w:hint="eastAsia"/>
          <w:lang w:eastAsia="zh-CN"/>
        </w:rPr>
        <w:t xml:space="preserve">    Aquawatt</w:t>
      </w:r>
    </w:p>
    <w:p>
      <w:pPr>
        <w:pStyle w:val="145"/>
        <w:rPr>
          <w:rFonts w:hint="eastAsia"/>
          <w:lang w:eastAsia="zh-CN"/>
        </w:rPr>
      </w:pPr>
      <w:r>
        <w:rPr>
          <w:rFonts w:hint="eastAsia"/>
          <w:lang w:eastAsia="zh-CN"/>
        </w:rPr>
        <w:t xml:space="preserve">    Excel Boats</w:t>
      </w:r>
    </w:p>
    <w:p>
      <w:pPr>
        <w:pStyle w:val="145"/>
        <w:rPr>
          <w:rFonts w:hint="eastAsia"/>
          <w:lang w:eastAsia="zh-CN"/>
        </w:rPr>
      </w:pPr>
      <w:r>
        <w:rPr>
          <w:rFonts w:hint="eastAsia"/>
          <w:lang w:eastAsia="zh-CN"/>
        </w:rPr>
        <w:t xml:space="preserve">    Tropida</w:t>
      </w:r>
    </w:p>
    <w:p>
      <w:pPr>
        <w:pStyle w:val="145"/>
        <w:rPr>
          <w:rFonts w:hint="eastAsia"/>
          <w:lang w:eastAsia="zh-CN"/>
        </w:rPr>
      </w:pPr>
      <w:r>
        <w:rPr>
          <w:rFonts w:hint="eastAsia"/>
          <w:lang w:eastAsia="zh-CN"/>
        </w:rPr>
        <w:t xml:space="preserve">    Sunfloat</w:t>
      </w:r>
    </w:p>
    <w:p>
      <w:pPr>
        <w:pStyle w:val="145"/>
        <w:rPr>
          <w:rFonts w:hint="eastAsia"/>
          <w:lang w:eastAsia="zh-CN"/>
        </w:rPr>
      </w:pPr>
      <w:r>
        <w:rPr>
          <w:rFonts w:hint="eastAsia"/>
          <w:lang w:eastAsia="zh-CN"/>
        </w:rPr>
        <w:t xml:space="preserve">    Zodiac</w:t>
      </w:r>
    </w:p>
    <w:p>
      <w:pPr>
        <w:pStyle w:val="145"/>
        <w:rPr>
          <w:rFonts w:hint="eastAsia"/>
          <w:lang w:eastAsia="zh-CN"/>
        </w:rPr>
      </w:pPr>
      <w:r>
        <w:rPr>
          <w:rFonts w:hint="eastAsia"/>
          <w:lang w:eastAsia="zh-CN"/>
        </w:rPr>
        <w:t xml:space="preserve">    Tornado Boats</w:t>
      </w:r>
    </w:p>
    <w:p>
      <w:pPr>
        <w:pStyle w:val="145"/>
        <w:rPr>
          <w:rFonts w:hint="eastAsia"/>
          <w:lang w:eastAsia="zh-CN"/>
        </w:rPr>
      </w:pPr>
      <w:r>
        <w:rPr>
          <w:rFonts w:hint="eastAsia"/>
          <w:lang w:eastAsia="zh-CN"/>
        </w:rPr>
        <w:t xml:space="preserve">    Highfield Boats</w:t>
      </w:r>
    </w:p>
    <w:p>
      <w:pPr>
        <w:pStyle w:val="145"/>
        <w:rPr>
          <w:rFonts w:hint="eastAsia"/>
          <w:lang w:eastAsia="zh-CN"/>
        </w:rPr>
      </w:pPr>
      <w:r>
        <w:rPr>
          <w:rFonts w:hint="eastAsia"/>
          <w:lang w:eastAsia="zh-CN"/>
        </w:rPr>
        <w:t xml:space="preserve">    ASIS Boats</w:t>
      </w:r>
    </w:p>
    <w:p>
      <w:pPr>
        <w:pStyle w:val="145"/>
        <w:rPr>
          <w:rFonts w:hint="eastAsia"/>
          <w:lang w:eastAsia="zh-CN"/>
        </w:rPr>
      </w:pPr>
      <w:r>
        <w:rPr>
          <w:rFonts w:hint="eastAsia"/>
          <w:lang w:eastAsia="zh-CN"/>
        </w:rPr>
        <w:t xml:space="preserve">    RS Electric Boats</w:t>
      </w:r>
    </w:p>
    <w:p>
      <w:pPr>
        <w:pStyle w:val="145"/>
        <w:rPr>
          <w:rFonts w:hint="eastAsia"/>
          <w:lang w:eastAsia="zh-CN"/>
        </w:rPr>
      </w:pPr>
      <w:r>
        <w:rPr>
          <w:rFonts w:hint="eastAsia"/>
          <w:lang w:eastAsia="zh-CN"/>
        </w:rPr>
        <w:t xml:space="preserve">    Naviwatt</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中控台型</w:t>
      </w:r>
    </w:p>
    <w:p>
      <w:pPr>
        <w:pStyle w:val="145"/>
        <w:rPr>
          <w:rFonts w:hint="eastAsia"/>
          <w:lang w:eastAsia="zh-CN"/>
        </w:rPr>
      </w:pPr>
      <w:r>
        <w:rPr>
          <w:rFonts w:hint="eastAsia"/>
          <w:lang w:eastAsia="zh-CN"/>
        </w:rPr>
        <w:t xml:space="preserve">    侧控制台型</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休闲船</w:t>
      </w:r>
    </w:p>
    <w:p>
      <w:pPr>
        <w:pStyle w:val="145"/>
        <w:rPr>
          <w:rFonts w:hint="eastAsia"/>
          <w:lang w:eastAsia="zh-CN"/>
        </w:rPr>
      </w:pPr>
      <w:r>
        <w:rPr>
          <w:rFonts w:hint="eastAsia"/>
          <w:lang w:eastAsia="zh-CN"/>
        </w:rPr>
        <w:t xml:space="preserve">    工作船</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第4章：全球电动充气船主要地区分析，包括销量、销售收入等</w:t>
      </w:r>
    </w:p>
    <w:p>
      <w:pPr>
        <w:pStyle w:val="145"/>
        <w:rPr>
          <w:rFonts w:hint="eastAsia"/>
          <w:lang w:eastAsia="zh-CN"/>
        </w:rPr>
      </w:pPr>
      <w:r>
        <w:rPr>
          <w:rFonts w:hint="eastAsia"/>
          <w:lang w:eastAsia="zh-CN"/>
        </w:rPr>
        <w:t>第5章：全球电动充气船主要厂商基本情况介绍，包括公司简介、电动充气船产品型号、销量、收入、价格及最新动态等</w:t>
      </w:r>
    </w:p>
    <w:p>
      <w:pPr>
        <w:pStyle w:val="145"/>
        <w:rPr>
          <w:rFonts w:hint="eastAsia"/>
          <w:lang w:eastAsia="zh-CN"/>
        </w:rPr>
      </w:pPr>
      <w:r>
        <w:rPr>
          <w:rFonts w:hint="eastAsia"/>
          <w:lang w:eastAsia="zh-CN"/>
        </w:rPr>
        <w:t>第6章：全球不同产品类型电动充气船销量、收入、价格及份额等</w:t>
      </w:r>
    </w:p>
    <w:p>
      <w:pPr>
        <w:pStyle w:val="145"/>
        <w:rPr>
          <w:rFonts w:hint="eastAsia"/>
          <w:lang w:eastAsia="zh-CN"/>
        </w:rPr>
      </w:pPr>
      <w:r>
        <w:rPr>
          <w:rFonts w:hint="eastAsia"/>
          <w:lang w:eastAsia="zh-CN"/>
        </w:rPr>
        <w:t>第7章：全球不同应用电动充气船销量、收入、价格及份额等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rFonts w:hint="eastAsia"/>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Franklin Gothic Demi">
    <w:altName w:val="Yu Gothic UI Semibold"/>
    <w:panose1 w:val="020B07030201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FD4578"/>
    <w:rsid w:val="11840F07"/>
    <w:rsid w:val="14CB3DD9"/>
    <w:rsid w:val="34C26C1E"/>
    <w:rsid w:val="37635EED"/>
    <w:rsid w:val="3BF249E7"/>
    <w:rsid w:val="4096281B"/>
    <w:rsid w:val="47874069"/>
    <w:rsid w:val="4FEB5764"/>
    <w:rsid w:val="50966E45"/>
    <w:rsid w:val="55A77192"/>
    <w:rsid w:val="57FF3E6E"/>
    <w:rsid w:val="5C1916A5"/>
    <w:rsid w:val="5DF55733"/>
    <w:rsid w:val="6012002C"/>
    <w:rsid w:val="65062F7B"/>
    <w:rsid w:val="713524C7"/>
    <w:rsid w:val="76D74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manualLayout>
          <c:xMode val="edge"/>
          <c:yMode val="edge"/>
          <c:x val="0.372673849167483"/>
          <c:y val="0.0249117708117085"/>
        </c:manualLayout>
      </c:layout>
      <c:overlay val="0"/>
      <c:spPr>
        <a:noFill/>
        <a:ln>
          <a:noFill/>
        </a:ln>
        <a:effectLst/>
      </c:spPr>
    </c:title>
    <c:autoTitleDeleted val="0"/>
    <c:plotArea>
      <c:layout>
        <c:manualLayout>
          <c:layoutTarget val="inner"/>
          <c:xMode val="edge"/>
          <c:yMode val="edge"/>
          <c:x val="0.0563497418410902"/>
          <c:y val="0.113841104625366"/>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1.39</c:v>
                </c:pt>
                <c:pt idx="1">
                  <c:v>21.86</c:v>
                </c:pt>
                <c:pt idx="2">
                  <c:v>36.7</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8270778652668"/>
          <c:y val="0.0346320818516983"/>
        </c:manualLayout>
      </c:layout>
      <c:overlay val="0"/>
      <c:spPr>
        <a:noFill/>
        <a:ln>
          <a:noFill/>
        </a:ln>
        <a:effectLst/>
      </c:spPr>
    </c:title>
    <c:autoTitleDeleted val="0"/>
    <c:plotArea>
      <c:layout>
        <c:manualLayout>
          <c:layoutTarget val="inner"/>
          <c:xMode val="edge"/>
          <c:yMode val="edge"/>
          <c:x val="0.460222222222222"/>
          <c:y val="0.0984409368719328"/>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Lbls>
            <c:delete val="1"/>
          </c:dLbls>
          <c:cat>
            <c:strRef>
              <c:f>'[观点数据图表模板-全球20230927 实习同学(1).xlsx]企业排序'!$F$2:$F$12</c:f>
              <c:strCache>
                <c:ptCount val="11"/>
                <c:pt idx="0">
                  <c:v>Tropida</c:v>
                </c:pt>
                <c:pt idx="1">
                  <c:v>Sunfloat</c:v>
                </c:pt>
                <c:pt idx="2">
                  <c:v>Tornado Boats</c:v>
                </c:pt>
                <c:pt idx="3">
                  <c:v>Naviwatt</c:v>
                </c:pt>
                <c:pt idx="4">
                  <c:v>Highfield Boats</c:v>
                </c:pt>
                <c:pt idx="5">
                  <c:v>Aqua Marina</c:v>
                </c:pt>
                <c:pt idx="6">
                  <c:v>Aquawatt</c:v>
                </c:pt>
                <c:pt idx="7">
                  <c:v>Zodiac</c:v>
                </c:pt>
                <c:pt idx="8">
                  <c:v>ASIS Boats</c:v>
                </c:pt>
                <c:pt idx="9">
                  <c:v>Excel Boats</c:v>
                </c:pt>
                <c:pt idx="10">
                  <c:v>RS Electric Boats</c:v>
                </c:pt>
              </c:strCache>
            </c:strRef>
          </c:cat>
          <c:val>
            <c:numRef>
              <c:f>'[观点数据图表模板-全球20230927 实习同学(1).xlsx]企业排序'!$G$2:$G$12</c:f>
              <c:numCache>
                <c:formatCode>General</c:formatCode>
                <c:ptCount val="11"/>
                <c:pt idx="0">
                  <c:v>0.15</c:v>
                </c:pt>
                <c:pt idx="1">
                  <c:v>0.25</c:v>
                </c:pt>
                <c:pt idx="2">
                  <c:v>0.35</c:v>
                </c:pt>
                <c:pt idx="3">
                  <c:v>0.45</c:v>
                </c:pt>
                <c:pt idx="4">
                  <c:v>0.51</c:v>
                </c:pt>
                <c:pt idx="5">
                  <c:v>0.52</c:v>
                </c:pt>
                <c:pt idx="6">
                  <c:v>0.67</c:v>
                </c:pt>
                <c:pt idx="7">
                  <c:v>1.24</c:v>
                </c:pt>
                <c:pt idx="8">
                  <c:v>1.66</c:v>
                </c:pt>
                <c:pt idx="9">
                  <c:v>2.03</c:v>
                </c:pt>
                <c:pt idx="10">
                  <c:v>2.96</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0.56052889324192</cdr:x>
      <cdr:y>0.145941457338592</cdr:y>
    </cdr:from>
    <cdr:to>
      <cdr:x>0.792262487757101</cdr:x>
      <cdr:y>0.434917998754411</cdr:y>
    </cdr:to>
    <cdr:grpSp>
      <cdr:nvGrpSpPr>
        <cdr:cNvPr id="2" name="组合 1"/>
        <cdr:cNvGrpSpPr/>
      </cdr:nvGrpSpPr>
      <cdr:grpSpPr xmlns:a="http://schemas.openxmlformats.org/drawingml/2006/main">
        <a:xfrm rot="0">
          <a:off x="3468951" y="428519"/>
          <a:ext cx="1434132" cy="848504"/>
          <a:chOff x="2669062" y="1425016"/>
          <a:chExt cx="951093" cy="597767"/>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669062" y="1425016"/>
            <a:ext cx="951093" cy="597767"/>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097592">
            <a:off x="2961304" y="1549551"/>
            <a:ext cx="397160" cy="331520"/>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7.0%</a:t>
            </a:r>
            <a:endParaRPr lang="en-US" alt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0.323506366307542</cdr:x>
      <cdr:y>0.313888312227527</cdr:y>
    </cdr:from>
    <cdr:to>
      <cdr:x>0.426836434867777</cdr:x>
      <cdr:y>0.911770811708532</cdr:y>
    </cdr:to>
    <cdr:grpSp>
      <cdr:nvGrpSpPr>
        <cdr:cNvPr id="5" name="组合 4"/>
        <cdr:cNvGrpSpPr/>
      </cdr:nvGrpSpPr>
      <cdr:grpSpPr xmlns:a="http://schemas.openxmlformats.org/drawingml/2006/main">
        <a:xfrm rot="1723322">
          <a:off x="2002087" y="921651"/>
          <a:ext cx="639480" cy="1755527"/>
          <a:chOff x="4068432" y="4414357"/>
          <a:chExt cx="474997" cy="4094766"/>
        </a:xfrm>
      </cdr:grpSpPr>
      <cdr:cxnSp>
        <cdr:nvCxnSpPr>
          <cdr:cNvPr id="6" name="直接箭头连接符 5"/>
          <cdr:cNvCxnSpPr/>
        </cdr:nvCxnSpPr>
        <cdr:spPr xmlns:a="http://schemas.openxmlformats.org/drawingml/2006/main">
          <a:xfrm xmlns:a="http://schemas.openxmlformats.org/drawingml/2006/main" flipV="1">
            <a:off x="4068432" y="4414357"/>
            <a:ext cx="474997" cy="409476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7279997">
            <a:off x="3622111" y="6294514"/>
            <a:ext cx="1381984" cy="330922"/>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99.1%</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133</Words>
  <Characters>759</Characters>
  <Lines>6</Lines>
  <Paragraphs>1</Paragraphs>
  <TotalTime>1</TotalTime>
  <ScaleCrop>false</ScaleCrop>
  <LinksUpToDate>false</LinksUpToDate>
  <CharactersWithSpaces>891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2023-11-03T08:06:18Z</dcterms:modified>
  <cp:revision>797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30EC286EF57D4057A86088145ADDB8E6_13</vt:lpwstr>
  </property>
</Properties>
</file>