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theme/themeOverride2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53597319"/>
      <w:bookmarkStart w:id="1" w:name="_Toc517262917"/>
      <w:bookmarkStart w:id="2" w:name="_Toc438987549"/>
      <w:bookmarkStart w:id="3" w:name="_Toc481801204"/>
      <w:bookmarkStart w:id="4" w:name="OLE_LINK15"/>
      <w:bookmarkStart w:id="5" w:name="_Toc415818939"/>
      <w:bookmarkStart w:id="6" w:name="OLE_LINK39"/>
      <w:bookmarkStart w:id="7" w:name="_Toc418070112"/>
      <w:bookmarkStart w:id="8" w:name="_Toc415142861"/>
      <w:bookmarkStart w:id="9" w:name="OLE_LINK40"/>
      <w:bookmarkStart w:id="10" w:name="_Toc415143481"/>
      <w:bookmarkStart w:id="11" w:name="OLE_LINK24"/>
      <w:bookmarkStart w:id="12" w:name="OLE_LINK13"/>
      <w:r>
        <w:rPr>
          <w:lang w:eastAsia="zh-CN"/>
        </w:rPr>
        <w:t>线性摩擦焊接机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030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线性摩擦焊接机</w:t>
      </w:r>
      <w:r>
        <w:rPr>
          <w:rFonts w:hint="eastAsia"/>
          <w:lang w:eastAsia="zh-CN"/>
        </w:rPr>
        <w:t>市场规模将达到</w:t>
      </w:r>
      <w:r>
        <w:rPr>
          <w:lang w:eastAsia="zh-CN"/>
        </w:rPr>
        <w:t>4.56</w:t>
      </w:r>
      <w:r>
        <w:rPr>
          <w:rFonts w:hint="eastAsia"/>
          <w:lang w:eastAsia="zh-CN"/>
        </w:rPr>
        <w:t>亿美元，未来几年年复合增长率CAGR为</w:t>
      </w:r>
      <w:r>
        <w:rPr>
          <w:lang w:eastAsia="zh-CN"/>
        </w:rPr>
        <w:t>5.38</w:t>
      </w:r>
      <w:r>
        <w:rPr>
          <w:rFonts w:hint="eastAsia"/>
          <w:lang w:eastAsia="zh-CN"/>
        </w:rPr>
        <w:t>%。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线性摩擦焊接机是先进的制造工具，用于通过线性摩擦焊接 (LFW) 工艺连接材料。 在 LFW 中，两个组件在压力下接触，然后沿着线性路径相对彼此振荡。 部件之间产生的摩擦会产生热量，导致材料软化并粘合在一起。 与传统焊接方法相比，该工艺具有多种优势，包括更快的循环时间、降低的能耗以及焊接不同材料的能力。</w:t>
      </w:r>
    </w:p>
    <w:p>
      <w:pPr>
        <w:pStyle w:val="145"/>
        <w:rPr>
          <w:lang w:eastAsia="zh-CN"/>
        </w:rPr>
      </w:pPr>
    </w:p>
    <w:p>
      <w:pPr>
        <w:pStyle w:val="145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线性摩擦焊机的市场驱动因素包括：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效率和生产率：与传统焊接方法相比，线性摩擦焊接机的循环时间明显缩短，从而提高了制造过程的效率和生产率。 这对于大批量生产要求的行业尤其有利。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材料灵活性：LFW 可以焊接多种材料，包括金属、复合材料，甚至异种材料。 这种多功能性使得线性摩擦焊接机对经常连接不同材料的行业（例如航空航天和汽车）具有吸引力。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质量和强度：线性摩擦焊接可产生具有卓越机械性能（包括强度和抗疲劳性）的高质量焊缝。 这使其适用于结构完整性至关重要的应用，例如航空航天部件和汽车零部件。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减轻重量和设计灵活性：LFW 通过允许使用更薄的材料和新颖的设计来生产轻质部件。 这对于航空航天和运输等行业尤其重要，因为减轻重量可以节省燃料并提高性能。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环境注意事项：线性摩擦焊接是一种固态连接工艺，与传统焊接方法相比，产生的烟雾、排放或废物最少。 随着环境法规变得更加严格以及对可持续发展的关注日益增加，LFW 的环保特性可以推动其在各个行业的采用。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节省成本：虽然线性摩擦焊接机的初始投资可能高于传统焊接设备，但更快的循环时间、减少的材料浪费和能源效率可以为制造商带来长期的成本节省。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市场对先进制造技术的需求：随着技术的快速进步和竞争的加剧，制造商不断寻求创新的解决方案以保持领先地位。 线性摩擦焊机代表了一项尖端技术，可以帮助企业改进制造工艺并获得市场竞争优势。</w:t>
      </w:r>
    </w:p>
    <w:p>
      <w:pPr>
        <w:pStyle w:val="148"/>
        <w:numPr>
          <w:ilvl w:val="0"/>
          <w:numId w:val="0"/>
        </w:numPr>
        <w:ind w:leftChars="0"/>
        <w:rPr>
          <w:lang w:eastAsia="zh-CN"/>
        </w:rPr>
      </w:pPr>
      <w:r>
        <w:rPr>
          <w:lang w:eastAsia="zh-CN"/>
        </w:rPr>
        <w:t>线性摩擦焊接机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5877560" cy="2399665"/>
            <wp:effectExtent l="0" t="0" r="8890" b="635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线性摩擦焊接机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>
      <w:pPr>
        <w:pStyle w:val="148"/>
        <w:numPr>
          <w:ilvl w:val="0"/>
          <w:numId w:val="0"/>
        </w:numPr>
        <w:ind w:leftChars="0"/>
        <w:rPr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全球</w:t>
      </w:r>
      <w:r>
        <w:rPr>
          <w:sz w:val="24"/>
          <w:szCs w:val="28"/>
          <w:lang w:eastAsia="zh-CN"/>
        </w:rPr>
        <w:t>线性摩擦焊接机</w:t>
      </w:r>
      <w:r>
        <w:rPr>
          <w:rFonts w:hint="eastAsia"/>
          <w:sz w:val="24"/>
          <w:szCs w:val="28"/>
          <w:lang w:eastAsia="zh-CN"/>
        </w:rPr>
        <w:t>市场前十强生产商排名及市场占有率</w:t>
      </w:r>
    </w:p>
    <w:p>
      <w:pPr>
        <w:widowControl/>
        <w:topLinePunct w:val="0"/>
        <w:spacing w:after="0"/>
        <w:jc w:val="center"/>
      </w:pPr>
      <w:r>
        <w:drawing>
          <wp:inline distT="0" distB="0" distL="0" distR="0">
            <wp:extent cx="5113655" cy="2874645"/>
            <wp:effectExtent l="0" t="0" r="10795" b="1905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widowControl/>
        <w:topLinePunct w:val="0"/>
        <w:spacing w:after="0"/>
        <w:jc w:val="center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线性摩擦焊接机</w:t>
      </w:r>
      <w:r>
        <w:rPr>
          <w:rFonts w:hint="eastAsia"/>
          <w:lang w:eastAsia="zh-CN"/>
        </w:rPr>
        <w:t>市场研究报告2024-2030”，排名基于2023数据。目前最新数据，以本公司最新调研数据为准。</w:t>
      </w:r>
    </w:p>
    <w:p>
      <w:pPr>
        <w:pStyle w:val="145"/>
        <w:rPr>
          <w:lang w:eastAsia="zh-CN"/>
        </w:rPr>
      </w:pPr>
      <w:bookmarkStart w:id="19" w:name="_GoBack"/>
      <w:r>
        <w:rPr>
          <w:rFonts w:hint="eastAsia"/>
          <w:lang w:eastAsia="zh-CN"/>
        </w:rPr>
        <w:t>根据QYResearch头部企业研究中心调研，全球范围内</w:t>
      </w:r>
      <w:r>
        <w:rPr>
          <w:lang w:eastAsia="zh-CN"/>
        </w:rPr>
        <w:t>线性摩擦焊接机</w:t>
      </w:r>
      <w:r>
        <w:rPr>
          <w:rFonts w:hint="eastAsia"/>
          <w:lang w:eastAsia="zh-CN"/>
        </w:rPr>
        <w:t>生产商主要包括</w:t>
      </w:r>
      <w:r>
        <w:rPr>
          <w:lang w:eastAsia="zh-CN"/>
        </w:rPr>
        <w:t>Branson (Emerson), Bielomatik, Crest Group, Thompson (KUKA), MTI, Dukane, Daeyoung Ultrasonic, Seidensha Electronics, CEMAS ELETTRA, Sonics Materials</w:t>
      </w:r>
      <w:r>
        <w:rPr>
          <w:rFonts w:hint="eastAsia"/>
          <w:lang w:eastAsia="zh-CN"/>
        </w:rPr>
        <w:t>等。2022年，全球前十强厂商占有大约45.0%的市场份额。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45"/>
        <w:rPr>
          <w:lang w:eastAsia="zh-CN"/>
        </w:rPr>
      </w:pPr>
    </w:p>
    <w:bookmarkEnd w:id="19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</w:t>
      </w:r>
      <w:r>
        <w:rPr>
          <w:lang w:eastAsia="zh-CN"/>
        </w:rPr>
        <w:t>17</w:t>
      </w:r>
      <w:r>
        <w:rPr>
          <w:rFonts w:hint="eastAsia"/>
          <w:lang w:eastAsia="zh-CN"/>
        </w:rPr>
        <w:t>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87"/>
    <w:bookmarkStart w:id="14" w:name="_Hlk149300688"/>
    <w:bookmarkStart w:id="15" w:name="_Hlk149300690"/>
    <w:bookmarkStart w:id="16" w:name="_Hlk149300691"/>
    <w:bookmarkStart w:id="17" w:name="_Hlk149300689"/>
    <w:bookmarkStart w:id="18" w:name="_Hlk149300692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4098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4097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40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36E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738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173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78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07F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01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B39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0FF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0DC5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49F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4C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6B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2F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04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0A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69E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7F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0B1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4D10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BBB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4FD8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E81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6EC6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44E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843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1F31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54E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5E4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0E9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353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A6C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428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2925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561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A29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31741B8"/>
    <w:rsid w:val="6CEC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5" Type="http://schemas.microsoft.com/office/2011/relationships/chartColorStyle" Target="colors1.xml"/><Relationship Id="rId4" Type="http://schemas.microsoft.com/office/2011/relationships/chartStyle" Target="style1.xml"/><Relationship Id="rId3" Type="http://schemas.openxmlformats.org/officeDocument/2006/relationships/chartUserShapes" Target="../drawings/drawing1.xml"/><Relationship Id="rId2" Type="http://schemas.openxmlformats.org/officeDocument/2006/relationships/themeOverride" Target="../theme/themeOverride1.xml"/><Relationship Id="rId1" Type="http://schemas.openxmlformats.org/officeDocument/2006/relationships/oleObject" Target="file:///F:\&#33410;&#36873;\2024.4&#33410;&#36873;\&#23459;&#20256;&#25991;&#20214;\&#32447;&#24615;&#25705;&#25830;&#28938;&#25509;\&#35266;&#28857;&#25968;&#25454;&#22270;&#34920;&#27169;&#26495;-&#27169;&#26495;%2020240407.xlsx" TargetMode="External"/></Relationships>
</file>

<file path=word/charts/_rels/chart2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themeOverride" Target="../theme/themeOverride2.xml"/><Relationship Id="rId1" Type="http://schemas.openxmlformats.org/officeDocument/2006/relationships/oleObject" Target="file:///F:\&#33410;&#36873;\2024.4&#33410;&#36873;\&#23459;&#20256;&#25991;&#20214;\&#32447;&#24615;&#25705;&#25830;&#28938;&#25509;\&#35266;&#28857;&#25968;&#25454;&#22270;&#34920;&#27169;&#26495;-&#27169;&#26495;%2020240407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zh-CN" altLang="zh-CN" sz="1000" b="0" i="0" baseline="0">
                <a:effectLst/>
              </a:rPr>
              <a:t>全球市场规模</a:t>
            </a:r>
            <a:r>
              <a:rPr lang="en-US" altLang="zh-CN" sz="1000" b="0" i="0" baseline="0">
                <a:effectLst/>
              </a:rPr>
              <a:t>(</a:t>
            </a:r>
            <a:r>
              <a:rPr lang="zh-CN" altLang="zh-CN" sz="1000" b="0" i="0" baseline="0">
                <a:effectLst/>
              </a:rPr>
              <a:t>百万美元</a:t>
            </a:r>
            <a:r>
              <a:rPr lang="en-US" altLang="zh-CN" sz="1000" b="0" i="0" baseline="0">
                <a:effectLst/>
              </a:rPr>
              <a:t>)</a:t>
            </a:r>
            <a:endParaRPr lang="zh-CN" altLang="zh-CN" sz="1000">
              <a:effectLst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333680629718612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2019</c:v>
                </c:pt>
                <c:pt idx="1">
                  <c:v>2024</c:v>
                </c:pt>
                <c:pt idx="2">
                  <c:v>2030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310.26</c:v>
                </c:pt>
                <c:pt idx="1">
                  <c:v>327.79</c:v>
                </c:pt>
                <c:pt idx="2">
                  <c:v>456.05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3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  <a:r>
              <a:rPr lang="zh-CN" sz="1100"/>
              <a:t>全球市场主要企业排名</a:t>
            </a:r>
            <a:endParaRPr lang="en-US" sz="1100"/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企业收入!$I$1</c:f>
              <c:strCache>
                <c:ptCount val="1"/>
                <c:pt idx="0">
                  <c:v>2023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企业收入!$H$2:$H$21</c:f>
              <c:strCache>
                <c:ptCount val="10"/>
                <c:pt idx="0">
                  <c:v>Branson (Emerson)</c:v>
                </c:pt>
                <c:pt idx="1">
                  <c:v>Bielomatik</c:v>
                </c:pt>
                <c:pt idx="2">
                  <c:v>Crest Group</c:v>
                </c:pt>
                <c:pt idx="3">
                  <c:v>Thompson (KUKA)</c:v>
                </c:pt>
                <c:pt idx="4">
                  <c:v>MTI</c:v>
                </c:pt>
                <c:pt idx="5">
                  <c:v>Dukane</c:v>
                </c:pt>
                <c:pt idx="6">
                  <c:v>Daeyoung Ultrasonic</c:v>
                </c:pt>
                <c:pt idx="7">
                  <c:v>Seidensha Electronics</c:v>
                </c:pt>
                <c:pt idx="8">
                  <c:v>CEMAS ELETTRA</c:v>
                </c:pt>
                <c:pt idx="9">
                  <c:v>Sonics Materials</c:v>
                </c:pt>
              </c:strCache>
            </c:strRef>
          </c:cat>
          <c:val>
            <c:numRef>
              <c:f>企业收入!$I$2:$I$21</c:f>
              <c:numCache>
                <c:formatCode>0.0%</c:formatCode>
                <c:ptCount val="10"/>
                <c:pt idx="0">
                  <c:v>0.21006329113924</c:v>
                </c:pt>
                <c:pt idx="1">
                  <c:v>0.054746835443038</c:v>
                </c:pt>
                <c:pt idx="2">
                  <c:v>0.0494303797468354</c:v>
                </c:pt>
                <c:pt idx="3">
                  <c:v>0.0506962025316456</c:v>
                </c:pt>
                <c:pt idx="4">
                  <c:v>0.0160759493670886</c:v>
                </c:pt>
                <c:pt idx="5">
                  <c:v>0.0226898734177215</c:v>
                </c:pt>
                <c:pt idx="6">
                  <c:v>0.0195886075949367</c:v>
                </c:pt>
                <c:pt idx="7">
                  <c:v>0.0139556962025316</c:v>
                </c:pt>
                <c:pt idx="8">
                  <c:v>0.0156012658227848</c:v>
                </c:pt>
                <c:pt idx="9">
                  <c:v>0.0139873417721519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baseline="0">
          <a:latin typeface="Times New Roman" panose="02020603050405020304" charset="0"/>
          <a:ea typeface="宋体" panose="02010600030101010101" charset="-122"/>
        </a:defRPr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0.55109</cdr:x>
      <cdr:y>0.20176</cdr:y>
    </cdr:from>
    <cdr:to>
      <cdr:x>0.76359</cdr:x>
      <cdr:y>0.40242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410537" y="592532"/>
          <a:ext cx="1315082" cy="589332"/>
        </a:xfrm>
        <a:prstGeom xmlns:a="http://schemas.openxmlformats.org/drawingml/2006/main" prst="straightConnector1">
          <a:avLst/>
        </a:prstGeom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0.58522</cdr:x>
      <cdr:y>0.26102</cdr:y>
    </cdr:from>
    <cdr:to>
      <cdr:x>0.70714</cdr:x>
      <cdr:y>0.35372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20190565">
          <a:off x="3621760" y="766597"/>
          <a:ext cx="754527" cy="272249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sz="1050" baseline="0">
              <a:solidFill>
                <a:srgbClr val="002060"/>
              </a:solidFill>
              <a:latin typeface="Times New Roman" panose="02020603050405020304" charset="0"/>
              <a:ea typeface="宋体" panose="02010600030101010101" charset="-122"/>
              <a:cs typeface="Times New Roman" panose="02020603050405020304" charset="0"/>
            </a:rPr>
            <a:t>5.38%</a:t>
          </a:r>
          <a:endParaRPr lang="zh-CN" sz="1050" baseline="0">
            <a:solidFill>
              <a:srgbClr val="002060"/>
            </a:solidFill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  <cdr:relSizeAnchor xmlns:cdr="http://schemas.openxmlformats.org/drawingml/2006/chartDrawing">
    <cdr:from>
      <cdr:x>0.23521</cdr:x>
      <cdr:y>0.39853</cdr:y>
    </cdr:from>
    <cdr:to>
      <cdr:x>0.45626</cdr:x>
      <cdr:y>0.43165</cdr:y>
    </cdr:to>
    <cdr:cxnSp>
      <cdr:nvCxnSpPr>
        <cdr:cNvPr id="4" name="直接箭头连接符 3"/>
        <cdr:cNvCxnSpPr/>
      </cdr:nvCxnSpPr>
      <cdr:spPr xmlns:a="http://schemas.openxmlformats.org/drawingml/2006/main">
        <a:xfrm xmlns:a="http://schemas.openxmlformats.org/drawingml/2006/main" flipV="1">
          <a:off x="1455634" y="1170432"/>
          <a:ext cx="1368033" cy="97265"/>
        </a:xfrm>
        <a:prstGeom xmlns:a="http://schemas.openxmlformats.org/drawingml/2006/main" prst="straightConnector1">
          <a:avLst/>
        </a:prstGeom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0.27267</cdr:x>
      <cdr:y>0.36866</cdr:y>
    </cdr:from>
    <cdr:to>
      <cdr:x>0.39958</cdr:x>
      <cdr:y>0.46177</cdr:y>
    </cdr:to>
    <cdr:sp>
      <cdr:nvSpPr>
        <cdr:cNvPr id="5" name="椭圆 4"/>
        <cdr:cNvSpPr/>
      </cdr:nvSpPr>
      <cdr:spPr xmlns:a="http://schemas.openxmlformats.org/drawingml/2006/main">
        <a:xfrm xmlns:a="http://schemas.openxmlformats.org/drawingml/2006/main" rot="21341506">
          <a:off x="1687461" y="1082703"/>
          <a:ext cx="785449" cy="273452"/>
        </a:xfrm>
        <a:prstGeom xmlns:a="http://schemas.openxmlformats.org/drawingml/2006/main" prst="ellipse">
          <a:avLst/>
        </a:prstGeom>
        <a:solidFill>
          <a:srgbClr val="FFC000"/>
        </a:solidFill>
        <a:ln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t" anchorCtr="0">
          <a:normAutofit/>
        </a:bodyPr>
        <a:lstStyle/>
        <a:p>
          <a:r>
            <a:rPr lang="en-US" altLang="zh-CN" sz="1050" baseline="0">
              <a:solidFill>
                <a:srgbClr val="002060"/>
              </a:solidFill>
              <a:latin typeface="Times New Roman" panose="02020603050405020304" charset="0"/>
              <a:ea typeface="宋体" panose="02010600030101010101" charset="-122"/>
              <a:cs typeface="Times New Roman" panose="02020603050405020304" charset="0"/>
            </a:rPr>
            <a:t>1.11%</a:t>
          </a:r>
          <a:endParaRPr lang="zh-CN" sz="1050" baseline="0">
            <a:solidFill>
              <a:srgbClr val="002060"/>
            </a:solidFill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4098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6C4C69-2DC9-4EB6-930F-61B25235D0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278</Words>
  <Characters>1585</Characters>
  <Lines>13</Lines>
  <Paragraphs>3</Paragraphs>
  <TotalTime>682</TotalTime>
  <ScaleCrop>false</ScaleCrop>
  <LinksUpToDate>false</LinksUpToDate>
  <CharactersWithSpaces>1860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2024-05-27T09:54:56Z</dcterms:modified>
  <cp:revision>831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29DAC7CCD05D4F37884D443BF8FB7F56_12</vt:lpwstr>
  </property>
</Properties>
</file>