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OLE_LINK24"/>
      <w:bookmarkStart w:id="1" w:name="_Toc438987549"/>
      <w:bookmarkStart w:id="2" w:name="OLE_LINK15"/>
      <w:bookmarkStart w:id="3" w:name="_Toc481801204"/>
      <w:bookmarkStart w:id="4" w:name="OLE_LINK13"/>
      <w:bookmarkStart w:id="5" w:name="OLE_LINK40"/>
      <w:bookmarkStart w:id="6" w:name="_Toc415142861"/>
      <w:bookmarkStart w:id="7" w:name="OLE_LINK39"/>
      <w:bookmarkStart w:id="8" w:name="_Toc453597319"/>
      <w:bookmarkStart w:id="9" w:name="_Toc415143481"/>
      <w:bookmarkStart w:id="10" w:name="_Toc517262917"/>
      <w:bookmarkStart w:id="11" w:name="_Toc418070112"/>
      <w:bookmarkStart w:id="12" w:name="_Toc415818939"/>
      <w:r>
        <w:rPr>
          <w:lang w:eastAsia="zh-CN"/>
        </w:rPr>
        <w:t>超高纯氢氟酸</w:t>
      </w:r>
      <w:r>
        <w:rPr>
          <w:rFonts w:hint="eastAsia"/>
          <w:lang w:eastAsia="zh-CN"/>
        </w:rPr>
        <w:t>全球市场总体规模</w:t>
      </w:r>
    </w:p>
    <w:p>
      <w:pPr>
        <w:pStyle w:val="145"/>
        <w:rPr>
          <w:lang w:eastAsia="zh-CN"/>
        </w:rPr>
      </w:pPr>
      <w:r>
        <w:rPr>
          <w:lang w:eastAsia="zh-CN"/>
        </w:rPr>
        <w:drawing>
          <wp:inline distT="0" distB="0" distL="0" distR="0">
            <wp:extent cx="2091055" cy="1207135"/>
            <wp:effectExtent l="0" t="0" r="4445" b="0"/>
            <wp:docPr id="15935144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514498"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091055" cy="1207135"/>
                    </a:xfrm>
                    <a:prstGeom prst="rect">
                      <a:avLst/>
                    </a:prstGeom>
                    <a:noFill/>
                  </pic:spPr>
                </pic:pic>
              </a:graphicData>
            </a:graphic>
          </wp:inline>
        </w:drawing>
      </w:r>
    </w:p>
    <w:p>
      <w:pPr>
        <w:pStyle w:val="145"/>
        <w:rPr>
          <w:lang w:eastAsia="zh-CN"/>
        </w:rPr>
      </w:pPr>
      <w:r>
        <w:rPr>
          <w:rFonts w:hint="eastAsia"/>
          <w:lang w:eastAsia="zh-CN"/>
        </w:rPr>
        <w:t>据QYResearch调研团队最新报告“全球超高纯氢氟酸市场报告2023-2029”显示，预计2029年全球超高纯氢氟酸市场规模将达到14.7亿美元，未来几年年复合增长率CAGR为8.5%。</w:t>
      </w:r>
    </w:p>
    <w:p>
      <w:pPr>
        <w:pStyle w:val="148"/>
        <w:rPr>
          <w:lang w:eastAsia="zh-CN"/>
        </w:rPr>
      </w:pPr>
      <w:r>
        <w:rPr>
          <w:lang w:eastAsia="zh-CN"/>
        </w:rPr>
        <w:t>超高纯氢氟酸</w:t>
      </w:r>
      <w:r>
        <w:rPr>
          <w:rFonts w:hint="eastAsia"/>
          <w:lang w:eastAsia="zh-CN"/>
        </w:rPr>
        <w:t>，全球市场总体规模</w:t>
      </w:r>
    </w:p>
    <w:p>
      <w:pPr>
        <w:pStyle w:val="145"/>
      </w:pPr>
      <w:r>
        <w:drawing>
          <wp:inline distT="0" distB="0" distL="0" distR="0">
            <wp:extent cx="6559550" cy="3060700"/>
            <wp:effectExtent l="0" t="0" r="0" b="6350"/>
            <wp:docPr id="990753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75329"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6559550" cy="3060700"/>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超高纯氢氟酸</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超高纯氢氟酸</w:t>
      </w:r>
      <w:r>
        <w:rPr>
          <w:rFonts w:hint="eastAsia"/>
          <w:lang w:eastAsia="zh-CN"/>
        </w:rPr>
        <w:t>市场前</w:t>
      </w:r>
      <w:r>
        <w:rPr>
          <w:lang w:eastAsia="zh-CN"/>
        </w:rPr>
        <w:t>15</w:t>
      </w:r>
      <w:r>
        <w:rPr>
          <w:rFonts w:hint="eastAsia"/>
          <w:lang w:eastAsia="zh-CN"/>
        </w:rPr>
        <w:t>强生产商排名及市场占有率（基于202</w:t>
      </w:r>
      <w:r>
        <w:rPr>
          <w:lang w:eastAsia="zh-CN"/>
        </w:rPr>
        <w:t>1</w:t>
      </w:r>
      <w:r>
        <w:rPr>
          <w:rFonts w:hint="eastAsia"/>
          <w:lang w:eastAsia="zh-CN"/>
        </w:rPr>
        <w:t>年调研数据；目前最新数据以本公司最新调研数据为准）</w:t>
      </w:r>
    </w:p>
    <w:p>
      <w:pPr>
        <w:pStyle w:val="145"/>
        <w:jc w:val="center"/>
      </w:pPr>
      <w:r>
        <w:drawing>
          <wp:inline distT="0" distB="0" distL="0" distR="0">
            <wp:extent cx="4572635" cy="4395470"/>
            <wp:effectExtent l="0" t="0" r="0" b="5080"/>
            <wp:docPr id="138278270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782704" name="图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4572635" cy="4395470"/>
                    </a:xfrm>
                    <a:prstGeom prst="rect">
                      <a:avLst/>
                    </a:prstGeom>
                    <a:noFill/>
                  </pic:spPr>
                </pic:pic>
              </a:graphicData>
            </a:graphic>
          </wp:inline>
        </w:drawing>
      </w:r>
    </w:p>
    <w:p>
      <w:pPr>
        <w:pStyle w:val="143"/>
        <w:rPr>
          <w:lang w:eastAsia="zh-CN"/>
        </w:rPr>
      </w:pPr>
      <w:r>
        <w:rPr>
          <w:rFonts w:hint="eastAsia"/>
          <w:lang w:eastAsia="zh-CN"/>
        </w:rPr>
        <w:t>如上图表/数据，摘自QYResearch报告“全球超高纯氢氟酸市场研究报告2023-2029，排名基于2022数据。目前最新数据，以本公司最新调研数据为准。</w:t>
      </w:r>
    </w:p>
    <w:p>
      <w:pPr>
        <w:pStyle w:val="143"/>
      </w:pPr>
      <w:r>
        <w:t>.</w:t>
      </w:r>
    </w:p>
    <w:p>
      <w:pPr>
        <w:pStyle w:val="145"/>
      </w:pPr>
      <w:r>
        <w:rPr>
          <w:rFonts w:hint="eastAsia"/>
          <w:lang w:eastAsia="zh-CN"/>
        </w:rPr>
        <w:t>全球范围内超高纯氢氟酸生产商主要包括Stella Chemifa、Do-Fluoride Chemicals、Sunlit Chemical、Zhejiang Kaiheng、FDAC、Shaowu Fluoride、Morita、Solvay、Honeywell、Yingpeng Group等。2022年，全球前五大厂商占有大约61.0%的市场份额。</w:t>
      </w:r>
    </w:p>
    <w:p>
      <w:pPr>
        <w:pStyle w:val="145"/>
      </w:pPr>
    </w:p>
    <w:p>
      <w:pPr>
        <w:pStyle w:val="145"/>
      </w:pPr>
      <w:r>
        <w:br w:type="page"/>
      </w:r>
    </w:p>
    <w:bookmarkEnd w:id="0"/>
    <w:bookmarkEnd w:id="1"/>
    <w:bookmarkEnd w:id="2"/>
    <w:bookmarkEnd w:id="3"/>
    <w:bookmarkEnd w:id="4"/>
    <w:bookmarkEnd w:id="5"/>
    <w:bookmarkEnd w:id="6"/>
    <w:bookmarkEnd w:id="7"/>
    <w:bookmarkEnd w:id="8"/>
    <w:bookmarkEnd w:id="9"/>
    <w:bookmarkEnd w:id="10"/>
    <w:bookmarkEnd w:id="11"/>
    <w:bookmarkEnd w:id="12"/>
    <w:p>
      <w:pPr>
        <w:pStyle w:val="167"/>
        <w:rPr>
          <w:lang w:eastAsia="zh-CN"/>
        </w:rPr>
      </w:pPr>
      <w:r>
        <w:rPr>
          <w:rFonts w:hint="eastAsia"/>
          <w:lang w:eastAsia="zh-CN"/>
        </w:rPr>
        <w:t>2024年全球超高纯氢氟酸行业总体规模、主要企业国内外市场占有率及排名</w:t>
      </w:r>
    </w:p>
    <w:p>
      <w:pPr>
        <w:pStyle w:val="145"/>
        <w:rPr>
          <w:rFonts w:hint="eastAsia"/>
          <w:lang w:eastAsia="zh-CN"/>
        </w:rPr>
      </w:pPr>
      <w:r>
        <w:rPr>
          <w:rFonts w:hint="eastAsia"/>
          <w:lang w:eastAsia="zh-CN"/>
        </w:rPr>
        <w:t>根据QYResearch研究团队调研统计，2023年全球超高纯氢氟酸市场销售额达到了 亿元，预计2030年将达到 亿元，年复合增长率（CAGR）为 %（2024-2030）。中国市场在过去几年变化较快，2023年市场规模为 亿元，约占全球的 %，预计2030年将达到 亿元，届时全球占比将达到 %。</w:t>
      </w:r>
    </w:p>
    <w:p>
      <w:pPr>
        <w:pStyle w:val="145"/>
        <w:rPr>
          <w:rFonts w:hint="eastAsia"/>
          <w:lang w:eastAsia="zh-CN"/>
        </w:rPr>
      </w:pPr>
      <w:r>
        <w:rPr>
          <w:rFonts w:hint="eastAsia"/>
          <w:lang w:eastAsia="zh-CN"/>
        </w:rPr>
        <w:t>国际市场占有率和排名来看，主要厂商有Stella Chemifa Corp、FDAC、Honeywell、Solvay (Zhejiang Lansol)和Morita等，2023年前五大厂商占据国际市场大约 %的份额。</w:t>
      </w:r>
    </w:p>
    <w:p>
      <w:pPr>
        <w:pStyle w:val="145"/>
        <w:rPr>
          <w:rFonts w:hint="eastAsia"/>
          <w:lang w:eastAsia="zh-CN"/>
        </w:rPr>
      </w:pPr>
      <w:r>
        <w:rPr>
          <w:rFonts w:hint="eastAsia"/>
          <w:lang w:eastAsia="zh-CN"/>
        </w:rPr>
        <w:t>国内市场占有率和排名来看，在中国市场主要厂商有Stella Chemifa Corp、FDAC、Honeywell、Solvay (Zhejiang Lansol)和Morita等等，2023年前五大厂商占据国内市场大约 %的份额。</w:t>
      </w:r>
    </w:p>
    <w:p>
      <w:pPr>
        <w:pStyle w:val="145"/>
        <w:rPr>
          <w:rFonts w:hint="eastAsia"/>
          <w:lang w:eastAsia="zh-CN"/>
        </w:rPr>
      </w:pPr>
      <w:r>
        <w:rPr>
          <w:rFonts w:hint="eastAsia"/>
          <w:lang w:eastAsia="zh-CN"/>
        </w:rPr>
        <w:t>生产端来看，北美和欧洲是两个重要的生产地区，2023年分别占有 %和 %的市场份额，预计未来几年， 地区将保持最快增速，预计2030年份额将达到 %。</w:t>
      </w:r>
    </w:p>
    <w:p>
      <w:pPr>
        <w:pStyle w:val="145"/>
        <w:rPr>
          <w:rFonts w:hint="eastAsia"/>
          <w:lang w:eastAsia="zh-CN"/>
        </w:rPr>
      </w:pPr>
      <w:r>
        <w:rPr>
          <w:rFonts w:hint="eastAsia"/>
          <w:lang w:eastAsia="zh-CN"/>
        </w:rPr>
        <w:t>从产品类型方面来看，UP-S级占有重要地位，预计2030年份额将达到 %。同时就应用来看，集成电路在2023年份额大约是 %，未来几年CAGR大约为 %。</w:t>
      </w:r>
    </w:p>
    <w:p>
      <w:pPr>
        <w:pStyle w:val="145"/>
        <w:rPr>
          <w:rFonts w:hint="eastAsia"/>
          <w:lang w:eastAsia="zh-CN"/>
        </w:rPr>
      </w:pPr>
      <w:r>
        <w:rPr>
          <w:rFonts w:hint="eastAsia"/>
          <w:lang w:eastAsia="zh-CN"/>
        </w:rPr>
        <w:t>本文侧重研究全球超高纯氢氟酸总体规模及主要厂商占有率和排名，主要统计指标包括超高纯氢氟酸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本文主要企业名单如下，也可根据客户要求增加目标企业：</w:t>
      </w:r>
    </w:p>
    <w:p>
      <w:pPr>
        <w:pStyle w:val="145"/>
        <w:rPr>
          <w:rFonts w:hint="eastAsia"/>
          <w:lang w:eastAsia="zh-CN"/>
        </w:rPr>
      </w:pPr>
      <w:r>
        <w:rPr>
          <w:rFonts w:hint="eastAsia"/>
          <w:lang w:eastAsia="zh-CN"/>
        </w:rPr>
        <w:t xml:space="preserve">    Stella Chemifa Corp</w:t>
      </w:r>
    </w:p>
    <w:p>
      <w:pPr>
        <w:pStyle w:val="145"/>
        <w:rPr>
          <w:rFonts w:hint="eastAsia"/>
          <w:lang w:eastAsia="zh-CN"/>
        </w:rPr>
      </w:pPr>
      <w:r>
        <w:rPr>
          <w:rFonts w:hint="eastAsia"/>
          <w:lang w:eastAsia="zh-CN"/>
        </w:rPr>
        <w:t xml:space="preserve">    FDAC</w:t>
      </w:r>
    </w:p>
    <w:p>
      <w:pPr>
        <w:pStyle w:val="145"/>
        <w:rPr>
          <w:rFonts w:hint="eastAsia"/>
          <w:lang w:eastAsia="zh-CN"/>
        </w:rPr>
      </w:pPr>
      <w:r>
        <w:rPr>
          <w:rFonts w:hint="eastAsia"/>
          <w:lang w:eastAsia="zh-CN"/>
        </w:rPr>
        <w:t xml:space="preserve">    Honeywell</w:t>
      </w:r>
    </w:p>
    <w:p>
      <w:pPr>
        <w:pStyle w:val="145"/>
        <w:rPr>
          <w:rFonts w:hint="eastAsia"/>
          <w:lang w:eastAsia="zh-CN"/>
        </w:rPr>
      </w:pPr>
      <w:r>
        <w:rPr>
          <w:rFonts w:hint="eastAsia"/>
          <w:lang w:eastAsia="zh-CN"/>
        </w:rPr>
        <w:t xml:space="preserve">    Solvay (Zhejiang Lansol)</w:t>
      </w:r>
    </w:p>
    <w:p>
      <w:pPr>
        <w:pStyle w:val="145"/>
        <w:rPr>
          <w:rFonts w:hint="eastAsia"/>
          <w:lang w:eastAsia="zh-CN"/>
        </w:rPr>
      </w:pPr>
      <w:r>
        <w:rPr>
          <w:rFonts w:hint="eastAsia"/>
          <w:lang w:eastAsia="zh-CN"/>
        </w:rPr>
        <w:t xml:space="preserve">    Morita</w:t>
      </w:r>
    </w:p>
    <w:p>
      <w:pPr>
        <w:pStyle w:val="145"/>
        <w:rPr>
          <w:rFonts w:hint="eastAsia"/>
          <w:lang w:eastAsia="zh-CN"/>
        </w:rPr>
      </w:pPr>
      <w:r>
        <w:rPr>
          <w:rFonts w:hint="eastAsia"/>
          <w:lang w:eastAsia="zh-CN"/>
        </w:rPr>
        <w:t xml:space="preserve">    Sunlit Chemical</w:t>
      </w:r>
    </w:p>
    <w:p>
      <w:pPr>
        <w:pStyle w:val="145"/>
        <w:rPr>
          <w:rFonts w:hint="eastAsia"/>
          <w:lang w:eastAsia="zh-CN"/>
        </w:rPr>
      </w:pPr>
      <w:r>
        <w:rPr>
          <w:rFonts w:hint="eastAsia"/>
          <w:lang w:eastAsia="zh-CN"/>
        </w:rPr>
        <w:t xml:space="preserve">    Zhejiang Kaiheng Electronic Materials</w:t>
      </w:r>
    </w:p>
    <w:p>
      <w:pPr>
        <w:pStyle w:val="145"/>
        <w:rPr>
          <w:rFonts w:hint="eastAsia"/>
          <w:lang w:eastAsia="zh-CN"/>
        </w:rPr>
      </w:pPr>
      <w:r>
        <w:rPr>
          <w:rFonts w:hint="eastAsia"/>
          <w:lang w:eastAsia="zh-CN"/>
        </w:rPr>
        <w:t xml:space="preserve">    Do-Fluoride Chemicals</w:t>
      </w:r>
    </w:p>
    <w:p>
      <w:pPr>
        <w:pStyle w:val="145"/>
        <w:rPr>
          <w:rFonts w:hint="eastAsia"/>
          <w:lang w:eastAsia="zh-CN"/>
        </w:rPr>
      </w:pPr>
      <w:r>
        <w:rPr>
          <w:rFonts w:hint="eastAsia"/>
          <w:lang w:eastAsia="zh-CN"/>
        </w:rPr>
        <w:t xml:space="preserve">    Suzhou Crystal Clear Chemical</w:t>
      </w:r>
    </w:p>
    <w:p>
      <w:pPr>
        <w:pStyle w:val="145"/>
        <w:rPr>
          <w:rFonts w:hint="eastAsia"/>
          <w:lang w:eastAsia="zh-CN"/>
        </w:rPr>
      </w:pPr>
      <w:r>
        <w:rPr>
          <w:rFonts w:hint="eastAsia"/>
          <w:lang w:eastAsia="zh-CN"/>
        </w:rPr>
        <w:t xml:space="preserve">    Jiangyin Jianghua Microelectronics Materials</w:t>
      </w:r>
    </w:p>
    <w:p>
      <w:pPr>
        <w:pStyle w:val="145"/>
        <w:rPr>
          <w:rFonts w:hint="eastAsia"/>
          <w:lang w:eastAsia="zh-CN"/>
        </w:rPr>
      </w:pPr>
      <w:r>
        <w:rPr>
          <w:rFonts w:hint="eastAsia"/>
          <w:lang w:eastAsia="zh-CN"/>
        </w:rPr>
        <w:t xml:space="preserve">    Shaowu Fluoride</w:t>
      </w:r>
    </w:p>
    <w:p>
      <w:pPr>
        <w:pStyle w:val="145"/>
        <w:rPr>
          <w:rFonts w:hint="eastAsia"/>
          <w:lang w:eastAsia="zh-CN"/>
        </w:rPr>
      </w:pPr>
      <w:r>
        <w:rPr>
          <w:rFonts w:hint="eastAsia"/>
          <w:lang w:eastAsia="zh-CN"/>
        </w:rPr>
        <w:t xml:space="preserve">    Shaowu Huaxin</w:t>
      </w:r>
    </w:p>
    <w:p>
      <w:pPr>
        <w:pStyle w:val="145"/>
        <w:rPr>
          <w:rFonts w:hint="eastAsia"/>
          <w:lang w:eastAsia="zh-CN"/>
        </w:rPr>
      </w:pPr>
      <w:r>
        <w:rPr>
          <w:rFonts w:hint="eastAsia"/>
          <w:lang w:eastAsia="zh-CN"/>
        </w:rPr>
        <w:t xml:space="preserve">    Yingpeng Group</w:t>
      </w:r>
    </w:p>
    <w:p>
      <w:pPr>
        <w:pStyle w:val="145"/>
        <w:rPr>
          <w:rFonts w:hint="eastAsia"/>
          <w:lang w:eastAsia="zh-CN"/>
        </w:rPr>
      </w:pPr>
      <w:r>
        <w:rPr>
          <w:rFonts w:hint="eastAsia"/>
          <w:lang w:eastAsia="zh-CN"/>
        </w:rPr>
        <w:t xml:space="preserve">    Sanmei</w:t>
      </w:r>
    </w:p>
    <w:p>
      <w:pPr>
        <w:pStyle w:val="145"/>
        <w:rPr>
          <w:rFonts w:hint="eastAsia"/>
          <w:lang w:eastAsia="zh-CN"/>
        </w:rPr>
      </w:pPr>
      <w:r>
        <w:rPr>
          <w:rFonts w:hint="eastAsia"/>
          <w:lang w:eastAsia="zh-CN"/>
        </w:rPr>
        <w:t>按照不同产品类型，包括如下几个类别：</w:t>
      </w:r>
    </w:p>
    <w:p>
      <w:pPr>
        <w:pStyle w:val="145"/>
        <w:rPr>
          <w:rFonts w:hint="eastAsia"/>
          <w:lang w:eastAsia="zh-CN"/>
        </w:rPr>
      </w:pPr>
      <w:r>
        <w:rPr>
          <w:rFonts w:hint="eastAsia"/>
          <w:lang w:eastAsia="zh-CN"/>
        </w:rPr>
        <w:t xml:space="preserve">    UP级</w:t>
      </w:r>
    </w:p>
    <w:p>
      <w:pPr>
        <w:pStyle w:val="145"/>
        <w:rPr>
          <w:rFonts w:hint="eastAsia"/>
          <w:lang w:eastAsia="zh-CN"/>
        </w:rPr>
      </w:pPr>
      <w:r>
        <w:rPr>
          <w:rFonts w:hint="eastAsia"/>
          <w:lang w:eastAsia="zh-CN"/>
        </w:rPr>
        <w:t xml:space="preserve">    UP-S级</w:t>
      </w:r>
    </w:p>
    <w:p>
      <w:pPr>
        <w:pStyle w:val="145"/>
        <w:rPr>
          <w:rFonts w:hint="eastAsia"/>
          <w:lang w:eastAsia="zh-CN"/>
        </w:rPr>
      </w:pPr>
      <w:r>
        <w:rPr>
          <w:rFonts w:hint="eastAsia"/>
          <w:lang w:eastAsia="zh-CN"/>
        </w:rPr>
        <w:t xml:space="preserve">    UP-SS级</w:t>
      </w:r>
    </w:p>
    <w:p>
      <w:pPr>
        <w:pStyle w:val="145"/>
        <w:rPr>
          <w:rFonts w:hint="eastAsia"/>
          <w:lang w:eastAsia="zh-CN"/>
        </w:rPr>
      </w:pPr>
      <w:r>
        <w:rPr>
          <w:rFonts w:hint="eastAsia"/>
          <w:lang w:eastAsia="zh-CN"/>
        </w:rPr>
        <w:t xml:space="preserve">    EL级</w:t>
      </w:r>
    </w:p>
    <w:p>
      <w:pPr>
        <w:pStyle w:val="145"/>
        <w:rPr>
          <w:rFonts w:hint="eastAsia"/>
          <w:lang w:eastAsia="zh-CN"/>
        </w:rPr>
      </w:pPr>
      <w:r>
        <w:rPr>
          <w:rFonts w:hint="eastAsia"/>
          <w:lang w:eastAsia="zh-CN"/>
        </w:rPr>
        <w:t>按照不同应用，主要包括如下几个方面：</w:t>
      </w:r>
    </w:p>
    <w:p>
      <w:pPr>
        <w:pStyle w:val="145"/>
        <w:rPr>
          <w:rFonts w:hint="eastAsia"/>
          <w:lang w:eastAsia="zh-CN"/>
        </w:rPr>
      </w:pPr>
      <w:r>
        <w:rPr>
          <w:rFonts w:hint="eastAsia"/>
          <w:lang w:eastAsia="zh-CN"/>
        </w:rPr>
        <w:t xml:space="preserve">    集成电路</w:t>
      </w:r>
    </w:p>
    <w:p>
      <w:pPr>
        <w:pStyle w:val="145"/>
        <w:rPr>
          <w:rFonts w:hint="eastAsia"/>
          <w:lang w:eastAsia="zh-CN"/>
        </w:rPr>
      </w:pPr>
      <w:r>
        <w:rPr>
          <w:rFonts w:hint="eastAsia"/>
          <w:lang w:eastAsia="zh-CN"/>
        </w:rPr>
        <w:t xml:space="preserve">    太阳能</w:t>
      </w:r>
    </w:p>
    <w:p>
      <w:pPr>
        <w:pStyle w:val="145"/>
        <w:rPr>
          <w:rFonts w:hint="eastAsia"/>
          <w:lang w:eastAsia="zh-CN"/>
        </w:rPr>
      </w:pPr>
      <w:r>
        <w:rPr>
          <w:rFonts w:hint="eastAsia"/>
          <w:lang w:eastAsia="zh-CN"/>
        </w:rPr>
        <w:t xml:space="preserve">    玻璃制品</w:t>
      </w:r>
    </w:p>
    <w:p>
      <w:pPr>
        <w:pStyle w:val="145"/>
        <w:rPr>
          <w:rFonts w:hint="eastAsia"/>
          <w:lang w:eastAsia="zh-CN"/>
        </w:rPr>
      </w:pPr>
      <w:r>
        <w:rPr>
          <w:rFonts w:hint="eastAsia"/>
          <w:lang w:eastAsia="zh-CN"/>
        </w:rPr>
        <w:t xml:space="preserve">    监控面板</w:t>
      </w:r>
    </w:p>
    <w:p>
      <w:pPr>
        <w:pStyle w:val="145"/>
        <w:rPr>
          <w:rFonts w:hint="eastAsia"/>
          <w:lang w:eastAsia="zh-CN"/>
        </w:rPr>
      </w:pPr>
      <w:r>
        <w:rPr>
          <w:rFonts w:hint="eastAsia"/>
          <w:lang w:eastAsia="zh-CN"/>
        </w:rPr>
        <w:t xml:space="preserve">    其他</w:t>
      </w:r>
    </w:p>
    <w:p>
      <w:pPr>
        <w:pStyle w:val="145"/>
        <w:rPr>
          <w:rFonts w:hint="eastAsia"/>
          <w:lang w:eastAsia="zh-CN"/>
        </w:rPr>
      </w:pPr>
      <w:r>
        <w:rPr>
          <w:rFonts w:hint="eastAsia"/>
          <w:lang w:eastAsia="zh-CN"/>
        </w:rPr>
        <w:t>重点关注如下几个地区</w:t>
      </w:r>
    </w:p>
    <w:p>
      <w:pPr>
        <w:pStyle w:val="145"/>
        <w:rPr>
          <w:rFonts w:hint="eastAsia"/>
          <w:lang w:eastAsia="zh-CN"/>
        </w:rPr>
      </w:pPr>
      <w:r>
        <w:rPr>
          <w:rFonts w:hint="eastAsia"/>
          <w:lang w:eastAsia="zh-CN"/>
        </w:rPr>
        <w:t xml:space="preserve">    北美</w:t>
      </w:r>
    </w:p>
    <w:p>
      <w:pPr>
        <w:pStyle w:val="145"/>
        <w:rPr>
          <w:rFonts w:hint="eastAsia"/>
          <w:lang w:eastAsia="zh-CN"/>
        </w:rPr>
      </w:pPr>
      <w:r>
        <w:rPr>
          <w:rFonts w:hint="eastAsia"/>
          <w:lang w:eastAsia="zh-CN"/>
        </w:rPr>
        <w:t xml:space="preserve">    欧洲</w:t>
      </w:r>
    </w:p>
    <w:p>
      <w:pPr>
        <w:pStyle w:val="145"/>
        <w:rPr>
          <w:rFonts w:hint="eastAsia"/>
          <w:lang w:eastAsia="zh-CN"/>
        </w:rPr>
      </w:pPr>
      <w:r>
        <w:rPr>
          <w:rFonts w:hint="eastAsia"/>
          <w:lang w:eastAsia="zh-CN"/>
        </w:rPr>
        <w:t xml:space="preserve">    中国</w:t>
      </w:r>
    </w:p>
    <w:p>
      <w:pPr>
        <w:pStyle w:val="145"/>
        <w:rPr>
          <w:rFonts w:hint="eastAsia"/>
          <w:lang w:eastAsia="zh-CN"/>
        </w:rPr>
      </w:pPr>
      <w:r>
        <w:rPr>
          <w:rFonts w:hint="eastAsia"/>
          <w:lang w:eastAsia="zh-CN"/>
        </w:rPr>
        <w:t xml:space="preserve">    日本</w:t>
      </w:r>
    </w:p>
    <w:p>
      <w:pPr>
        <w:pStyle w:val="145"/>
        <w:rPr>
          <w:rFonts w:hint="eastAsia"/>
          <w:lang w:eastAsia="zh-CN"/>
        </w:rPr>
      </w:pPr>
      <w:r>
        <w:rPr>
          <w:rFonts w:hint="eastAsia"/>
          <w:lang w:eastAsia="zh-CN"/>
        </w:rPr>
        <w:t xml:space="preserve">    东南亚</w:t>
      </w:r>
    </w:p>
    <w:p>
      <w:pPr>
        <w:pStyle w:val="145"/>
        <w:rPr>
          <w:rFonts w:hint="eastAsia"/>
          <w:lang w:eastAsia="zh-CN"/>
        </w:rPr>
      </w:pPr>
      <w:r>
        <w:rPr>
          <w:rFonts w:hint="eastAsia"/>
          <w:lang w:eastAsia="zh-CN"/>
        </w:rPr>
        <w:t xml:space="preserve">    印度</w:t>
      </w:r>
    </w:p>
    <w:p>
      <w:pPr>
        <w:pStyle w:val="145"/>
        <w:rPr>
          <w:rFonts w:hint="eastAsia"/>
          <w:lang w:eastAsia="zh-CN"/>
        </w:rPr>
      </w:pPr>
      <w:r>
        <w:rPr>
          <w:rFonts w:hint="eastAsia"/>
          <w:lang w:eastAsia="zh-CN"/>
        </w:rPr>
        <w:t>本文正文共10章，各章节主要内容如下：</w:t>
      </w:r>
    </w:p>
    <w:p>
      <w:pPr>
        <w:pStyle w:val="145"/>
        <w:rPr>
          <w:rFonts w:hint="eastAsia"/>
          <w:lang w:eastAsia="zh-CN"/>
        </w:rPr>
      </w:pPr>
      <w:r>
        <w:rPr>
          <w:rFonts w:hint="eastAsia"/>
          <w:lang w:eastAsia="zh-CN"/>
        </w:rPr>
        <w:t>第1章：报告统计范围、所属行业、产品细分及主要的下游市场，行业现状及进入壁垒等</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第3章：全球总体规模（产能、产量、销量、需求量、销售收入等数据，2019-2030年）</w:t>
      </w:r>
    </w:p>
    <w:p>
      <w:pPr>
        <w:pStyle w:val="145"/>
        <w:rPr>
          <w:rFonts w:hint="eastAsia"/>
          <w:lang w:eastAsia="zh-CN"/>
        </w:rPr>
      </w:pPr>
      <w:r>
        <w:rPr>
          <w:rFonts w:hint="eastAsia"/>
          <w:lang w:eastAsia="zh-CN"/>
        </w:rPr>
        <w:t>第4章：全球超高纯氢氟酸主要地区分析，包括销量、销售收入等</w:t>
      </w:r>
    </w:p>
    <w:p>
      <w:pPr>
        <w:pStyle w:val="145"/>
        <w:rPr>
          <w:rFonts w:hint="eastAsia"/>
          <w:lang w:eastAsia="zh-CN"/>
        </w:rPr>
      </w:pPr>
      <w:r>
        <w:rPr>
          <w:rFonts w:hint="eastAsia"/>
          <w:lang w:eastAsia="zh-CN"/>
        </w:rPr>
        <w:t>第5章：全球超高纯氢氟酸主要厂商基本情况介绍，包括公司简介、超高纯氢氟酸产品型号、销量、收入、价格及最新动态等</w:t>
      </w:r>
    </w:p>
    <w:p>
      <w:pPr>
        <w:pStyle w:val="145"/>
        <w:rPr>
          <w:rFonts w:hint="eastAsia"/>
          <w:lang w:eastAsia="zh-CN"/>
        </w:rPr>
      </w:pPr>
      <w:r>
        <w:rPr>
          <w:rFonts w:hint="eastAsia"/>
          <w:lang w:eastAsia="zh-CN"/>
        </w:rPr>
        <w:t>第6章：全球不同产品类型超高纯氢氟酸销量、收入、价格及份额等</w:t>
      </w:r>
    </w:p>
    <w:p>
      <w:pPr>
        <w:pStyle w:val="145"/>
        <w:rPr>
          <w:rFonts w:hint="eastAsia"/>
          <w:lang w:eastAsia="zh-CN"/>
        </w:rPr>
      </w:pPr>
      <w:r>
        <w:rPr>
          <w:rFonts w:hint="eastAsia"/>
          <w:lang w:eastAsia="zh-CN"/>
        </w:rPr>
        <w:t>第7章：全球不同应用超高纯氢氟酸销量、收入、价格及份额等</w:t>
      </w:r>
      <w:bookmarkStart w:id="13" w:name="_GoBack"/>
      <w:bookmarkEnd w:id="13"/>
    </w:p>
    <w:p>
      <w:pPr>
        <w:pStyle w:val="145"/>
        <w:rPr>
          <w:rFonts w:hint="eastAsia"/>
          <w:lang w:eastAsia="zh-CN"/>
        </w:rPr>
      </w:pPr>
      <w:r>
        <w:rPr>
          <w:rFonts w:hint="eastAsia"/>
          <w:lang w:eastAsia="zh-CN"/>
        </w:rPr>
        <w:t>第8章：行业发展趋势、驱动因素、行业政策等</w:t>
      </w:r>
    </w:p>
    <w:p>
      <w:pPr>
        <w:pStyle w:val="145"/>
        <w:rPr>
          <w:rFonts w:hint="eastAsia"/>
          <w:lang w:eastAsia="zh-CN"/>
        </w:rPr>
      </w:pPr>
      <w:r>
        <w:rPr>
          <w:rFonts w:hint="eastAsia"/>
          <w:lang w:eastAsia="zh-CN"/>
        </w:rPr>
        <w:t>第9章：产业链、上下游分析、生产模式、销售模式及销售渠道分析等</w:t>
      </w:r>
    </w:p>
    <w:p>
      <w:pPr>
        <w:pStyle w:val="145"/>
        <w:rPr>
          <w:rFonts w:hint="eastAsia"/>
          <w:lang w:eastAsia="zh-CN"/>
        </w:rPr>
      </w:pPr>
      <w:r>
        <w:rPr>
          <w:rFonts w:hint="eastAsia"/>
          <w:lang w:eastAsia="zh-CN"/>
        </w:rPr>
        <w:t>第10章：报告结论</w:t>
      </w:r>
    </w:p>
    <w:p>
      <w:pPr>
        <w:pStyle w:val="145"/>
        <w:rPr>
          <w:lang w:eastAsia="zh-CN"/>
        </w:rPr>
      </w:pPr>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Yu Gothic UI"/>
    <w:panose1 w:val="020B0502020202020204"/>
    <w:charset w:val="00"/>
    <w:family w:val="swiss"/>
    <w:pitch w:val="default"/>
    <w:sig w:usb0="00000000" w:usb1="00000000" w:usb2="00000000" w:usb3="00000000" w:csb0="0000009F" w:csb1="00000000"/>
  </w:font>
  <w:font w:name="Franklin Gothic Demi">
    <w:altName w:val="Yu Gothic UI Semibold"/>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C4D"/>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809"/>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83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39"/>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797"/>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2D4"/>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1B0"/>
    <w:rsid w:val="006E42A7"/>
    <w:rsid w:val="006E4324"/>
    <w:rsid w:val="006E464C"/>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AA"/>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CFB"/>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8ED"/>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627"/>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93A"/>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5FC9"/>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59C"/>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97C"/>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33E"/>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19"/>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4F"/>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1D55"/>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17E"/>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67F"/>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9C7"/>
    <w:rsid w:val="00FF7BDD"/>
    <w:rsid w:val="00FF7CAD"/>
    <w:rsid w:val="00FF7D37"/>
    <w:rsid w:val="00FF7D64"/>
    <w:rsid w:val="3AF057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semiHidden/>
    <w:unhideWhenUsed/>
    <w:uiPriority w:val="99"/>
    <w:rPr>
      <w:vertAlign w:val="superscript"/>
    </w:rPr>
  </w:style>
  <w:style w:type="character" w:styleId="70">
    <w:name w:val="Emphasis"/>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00" w:after="20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TOC 2 字符"/>
    <w:basedOn w:val="67"/>
    <w:link w:val="29"/>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semiHidden/>
    <w:unhideWhenUsed/>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uiPriority w:val="99"/>
    <w:rPr>
      <w:color w:val="605E5C"/>
      <w:shd w:val="clear" w:color="auto" w:fill="E1DFDD"/>
    </w:rPr>
  </w:style>
  <w:style w:type="character" w:customStyle="1" w:styleId="192">
    <w:name w:val="标题 7 字符"/>
    <w:basedOn w:val="67"/>
    <w:link w:val="8"/>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uiPriority w:val="99"/>
    <w:rPr>
      <w:color w:val="605E5C"/>
      <w:shd w:val="clear" w:color="auto" w:fill="E1DFDD"/>
    </w:rPr>
  </w:style>
  <w:style w:type="table" w:customStyle="1" w:styleId="195">
    <w:name w:val="List Table 2 Accent 2"/>
    <w:basedOn w:val="34"/>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5.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3</Pages>
  <Words>157</Words>
  <Characters>900</Characters>
  <Lines>7</Lines>
  <Paragraphs>2</Paragraphs>
  <TotalTime>637</TotalTime>
  <ScaleCrop>false</ScaleCrop>
  <LinksUpToDate>false</LinksUpToDate>
  <CharactersWithSpaces>1055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2024-01-12T10:49:02Z</dcterms:modified>
  <cp:revision>801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0141DE06EC004CE69B8ECDE0642BEFB1_13</vt:lpwstr>
  </property>
</Properties>
</file>