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F18AB">
      <w:pPr>
        <w:pStyle w:val="167"/>
        <w:rPr>
          <w:lang w:eastAsia="zh-CN"/>
        </w:rPr>
      </w:pPr>
      <w:bookmarkStart w:id="0" w:name="_Toc517262917"/>
      <w:bookmarkStart w:id="1" w:name="_Toc438987549"/>
      <w:bookmarkStart w:id="2" w:name="_Toc415818939"/>
      <w:bookmarkStart w:id="3" w:name="OLE_LINK13"/>
      <w:bookmarkStart w:id="4" w:name="_Toc453597319"/>
      <w:bookmarkStart w:id="5" w:name="_Toc418070112"/>
      <w:bookmarkStart w:id="6" w:name="_Toc415143481"/>
      <w:bookmarkStart w:id="7" w:name="_Toc481801204"/>
      <w:bookmarkStart w:id="8" w:name="OLE_LINK15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高分子量溶剂型聚酯树脂</w:t>
      </w:r>
      <w:r>
        <w:rPr>
          <w:rFonts w:hint="eastAsia"/>
          <w:lang w:eastAsia="zh-CN"/>
        </w:rPr>
        <w:t>产品简介</w:t>
      </w:r>
    </w:p>
    <w:p w14:paraId="5F6215DC">
      <w:pPr>
        <w:pStyle w:val="145"/>
        <w:ind w:firstLine="420"/>
        <w:rPr>
          <w:lang w:eastAsia="zh-CN"/>
        </w:rPr>
      </w:pPr>
      <w:r>
        <w:rPr>
          <w:rFonts w:hint="eastAsia"/>
          <w:lang w:eastAsia="zh-CN"/>
        </w:rPr>
        <w:t>溶剂型聚酯树脂是一种在有机溶剂中熔融的无定形树脂，具有优异的柔韧性和金属附着力，常用作罐听涂料和家电钢板涂料的主要粘合剂。</w:t>
      </w:r>
      <w:bookmarkStart w:id="14" w:name="_GoBack"/>
      <w:bookmarkEnd w:id="14"/>
    </w:p>
    <w:p w14:paraId="0D409371">
      <w:pPr>
        <w:pStyle w:val="145"/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本报告中的高分子量溶剂型聚酯树脂是指分子量在10000以上的聚酯树脂。</w:t>
      </w:r>
    </w:p>
    <w:p w14:paraId="50ED8C89">
      <w:pPr>
        <w:pStyle w:val="148"/>
        <w:rPr>
          <w:lang w:eastAsia="zh-CN"/>
        </w:rPr>
      </w:pPr>
      <w:r>
        <w:rPr>
          <w:lang w:eastAsia="zh-CN"/>
        </w:rPr>
        <w:t>高分子量溶剂型聚酯树脂</w:t>
      </w:r>
      <w:r>
        <w:rPr>
          <w:rFonts w:hint="eastAsia"/>
          <w:lang w:eastAsia="zh-CN"/>
        </w:rPr>
        <w:t>产品图片</w:t>
      </w:r>
    </w:p>
    <w:p w14:paraId="44354806">
      <w:pPr>
        <w:pStyle w:val="145"/>
      </w:pPr>
      <w:r>
        <w:drawing>
          <wp:inline distT="0" distB="0" distL="0" distR="0">
            <wp:extent cx="2838450" cy="1985645"/>
            <wp:effectExtent l="0" t="0" r="0" b="0"/>
            <wp:docPr id="9740810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081040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50252" cy="1993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C9AA0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高分子量溶剂型聚酯树脂</w:t>
      </w:r>
      <w:r>
        <w:rPr>
          <w:rFonts w:hint="eastAsia"/>
          <w:lang w:eastAsia="zh-CN"/>
        </w:rPr>
        <w:t>市场研究报告2024-2030”</w:t>
      </w:r>
    </w:p>
    <w:p w14:paraId="7E967286">
      <w:pPr>
        <w:pStyle w:val="143"/>
        <w:rPr>
          <w:lang w:eastAsia="zh-CN"/>
        </w:rPr>
      </w:pPr>
    </w:p>
    <w:p w14:paraId="525D5715">
      <w:pPr>
        <w:pStyle w:val="167"/>
        <w:rPr>
          <w:lang w:eastAsia="zh-CN"/>
        </w:rPr>
      </w:pPr>
      <w:r>
        <w:rPr>
          <w:lang w:eastAsia="zh-CN"/>
        </w:rPr>
        <w:t>高分子量溶剂型聚酯树脂</w:t>
      </w:r>
      <w:r>
        <w:rPr>
          <w:rFonts w:hint="eastAsia"/>
          <w:lang w:eastAsia="zh-CN"/>
        </w:rPr>
        <w:t>全球市场总体规模</w:t>
      </w:r>
    </w:p>
    <w:p w14:paraId="43E4AD38">
      <w:pPr>
        <w:pStyle w:val="145"/>
        <w:rPr>
          <w:lang w:eastAsia="zh-CN"/>
        </w:rPr>
      </w:pPr>
      <w:r>
        <w:rPr>
          <w:rFonts w:hint="eastAsia"/>
          <w:lang w:eastAsia="zh-CN"/>
        </w:rPr>
        <w:t>预计2</w:t>
      </w:r>
      <w:r>
        <w:rPr>
          <w:lang w:eastAsia="zh-CN"/>
        </w:rPr>
        <w:t>030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高分子量溶剂型聚酯树脂</w:t>
      </w:r>
      <w:r>
        <w:rPr>
          <w:rFonts w:hint="eastAsia"/>
          <w:lang w:eastAsia="zh-CN"/>
        </w:rPr>
        <w:t>市场规模将达到3.12亿美元，未来几年年复合增长率CAGR为5.1%。</w:t>
      </w:r>
    </w:p>
    <w:p w14:paraId="3F6C2722">
      <w:pPr>
        <w:pStyle w:val="148"/>
        <w:rPr>
          <w:lang w:eastAsia="zh-CN"/>
        </w:rPr>
      </w:pPr>
      <w:r>
        <w:rPr>
          <w:lang w:eastAsia="zh-CN"/>
        </w:rPr>
        <w:t>高分子量溶剂型聚酯树脂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</w:pPr>
      <w:r>
        <w:drawing>
          <wp:inline distT="0" distB="0" distL="0" distR="0">
            <wp:extent cx="6188710" cy="2954655"/>
            <wp:effectExtent l="0" t="0" r="2540" b="0"/>
            <wp:docPr id="5121564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高分子量溶剂型聚酯树脂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12FD9BEF">
      <w:pPr>
        <w:pStyle w:val="145"/>
        <w:rPr>
          <w:lang w:eastAsia="zh-CN"/>
        </w:rPr>
      </w:pP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高分子量溶剂型聚酯树脂</w:t>
      </w:r>
      <w:r>
        <w:rPr>
          <w:rFonts w:hint="eastAsia"/>
          <w:lang w:eastAsia="zh-CN"/>
        </w:rPr>
        <w:t>市场前10强生产商排名及市场占有率（基于2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3771900" cy="4686300"/>
            <wp:effectExtent l="0" t="0" r="0" b="0"/>
            <wp:docPr id="125209272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高分子量溶剂型聚酯树脂</w:t>
      </w:r>
      <w:r>
        <w:rPr>
          <w:rFonts w:hint="eastAsia"/>
          <w:lang w:eastAsia="zh-CN"/>
        </w:rPr>
        <w:t>市场研究报告2024-2030”，排名基于2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数据。目前最新数据，以本公司最新调研数据为准。</w:t>
      </w:r>
    </w:p>
    <w:p w14:paraId="2A9BFC0B"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高分子量溶剂型聚酯树脂</w:t>
      </w:r>
      <w:r>
        <w:rPr>
          <w:rFonts w:hint="eastAsia"/>
          <w:lang w:eastAsia="zh-CN"/>
        </w:rPr>
        <w:t>主要生产商包括Evonik、Toyobo、SK Chemicals、Bostik和Covestro等，其中前五大厂商占有大约52%的市场份额。</w:t>
      </w:r>
    </w:p>
    <w:p w14:paraId="679A3E3B">
      <w:pPr>
        <w:pStyle w:val="145"/>
        <w:rPr>
          <w:lang w:eastAsia="zh-CN"/>
        </w:rPr>
      </w:pPr>
    </w:p>
    <w:p w14:paraId="03EB8C83"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主要驱动因素</w:t>
      </w:r>
      <w:r>
        <w:rPr>
          <w:b/>
          <w:bCs/>
          <w:lang w:eastAsia="zh-CN"/>
        </w:rPr>
        <w:t>:</w:t>
      </w:r>
    </w:p>
    <w:p w14:paraId="7E7A3F86">
      <w:pPr>
        <w:pStyle w:val="145"/>
        <w:rPr>
          <w:lang w:eastAsia="zh-CN"/>
        </w:rPr>
      </w:pPr>
      <w:bookmarkStart w:id="13" w:name="_Hlk165389128"/>
      <w:r>
        <w:rPr>
          <w:rFonts w:hint="eastAsia"/>
          <w:lang w:eastAsia="zh-CN"/>
        </w:rPr>
        <w:t>高分子量溶剂型聚酯树脂性能优异，下游市场需求量大。</w:t>
      </w:r>
    </w:p>
    <w:bookmarkEnd w:id="13"/>
    <w:p w14:paraId="32E3F1E4"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主要阻碍因素</w:t>
      </w:r>
      <w:r>
        <w:rPr>
          <w:b/>
          <w:bCs/>
          <w:lang w:eastAsia="zh-CN"/>
        </w:rPr>
        <w:t>:</w:t>
      </w:r>
    </w:p>
    <w:p w14:paraId="6DC37531">
      <w:pPr>
        <w:pStyle w:val="145"/>
        <w:rPr>
          <w:lang w:eastAsia="zh-CN"/>
        </w:rPr>
      </w:pPr>
      <w:r>
        <w:rPr>
          <w:rFonts w:hint="eastAsia"/>
          <w:lang w:eastAsia="zh-CN"/>
        </w:rPr>
        <w:t>市场上有聚酯树脂的替代品，如有机硅改性聚酯 (SMP) 和聚偏氟乙烯 (PVDF) 。</w:t>
      </w:r>
    </w:p>
    <w:p w14:paraId="7E73CFEF"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行业发展机遇</w:t>
      </w:r>
      <w:r>
        <w:rPr>
          <w:b/>
          <w:bCs/>
          <w:lang w:eastAsia="zh-CN"/>
        </w:rPr>
        <w:t>:</w:t>
      </w:r>
    </w:p>
    <w:p w14:paraId="3BFCFCD6">
      <w:pPr>
        <w:pStyle w:val="145"/>
        <w:rPr>
          <w:lang w:eastAsia="zh-CN"/>
        </w:rPr>
      </w:pPr>
      <w:r>
        <w:rPr>
          <w:rFonts w:hint="eastAsia"/>
          <w:lang w:eastAsia="zh-CN"/>
        </w:rPr>
        <w:t>聚酯基涂料被认为是替代标准环氧基涂料体系的良好替代品，可确保不含双酚A，符合欧盟、美国和国际的各种法规。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07A95001">
      <w:pPr>
        <w:pStyle w:val="145"/>
        <w:rPr>
          <w:lang w:eastAsia="zh-CN"/>
        </w:rPr>
      </w:pPr>
    </w:p>
    <w:sectPr>
      <w:headerReference r:id="rId5" w:type="first"/>
      <w:footerReference r:id="rId6" w:type="default"/>
      <w:headerReference r:id="rId4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Book Antiqua">
    <w:panose1 w:val="02040602050305030304"/>
    <w:charset w:val="01"/>
    <w:family w:val="auto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  <w:rPr>
        <w:rFonts w:hint="eastAsia" w:ascii="宋体" w:hAnsi="宋体" w:eastAsia="宋体" w:cs="宋体"/>
        <w:sz w:val="40"/>
        <w:szCs w:val="40"/>
      </w:rPr>
    </w:pPr>
    <w:r>
      <w:rPr>
        <w:rFonts w:hint="eastAsia" w:ascii="宋体" w:hAnsi="宋体" w:eastAsia="宋体" w:cs="宋体"/>
        <w:sz w:val="40"/>
        <w:szCs w:val="40"/>
        <w:lang w:eastAsia="zh-CN"/>
      </w:rPr>
      <w:t>QYResearch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546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CFF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B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BAC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15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4BA1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1F9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0A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79B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5D4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8D7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80F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CC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AC6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3CC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9DC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AB1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416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72A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3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BF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E75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A7E0A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0F75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0DF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67B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2B5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890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EA5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6DE3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061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BA3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75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8F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AA0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DDA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680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5E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711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7E3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5D60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0D5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1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18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629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421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687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4EE0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426"/>
    <w:rsid w:val="009317AF"/>
    <w:rsid w:val="0093183C"/>
    <w:rsid w:val="00931C5C"/>
    <w:rsid w:val="0093273D"/>
    <w:rsid w:val="00932B44"/>
    <w:rsid w:val="00933135"/>
    <w:rsid w:val="009331E3"/>
    <w:rsid w:val="00933F1B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5FFE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86D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79F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72D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55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686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923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3D3E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94B"/>
    <w:rsid w:val="00B05D07"/>
    <w:rsid w:val="00B05DC6"/>
    <w:rsid w:val="00B05ED1"/>
    <w:rsid w:val="00B064AA"/>
    <w:rsid w:val="00B068DC"/>
    <w:rsid w:val="00B069F4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1E1F"/>
    <w:rsid w:val="00B12395"/>
    <w:rsid w:val="00B12985"/>
    <w:rsid w:val="00B12A89"/>
    <w:rsid w:val="00B13085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6AC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14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1B4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4E87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4FDB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BE8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CA5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2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19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C5A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A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A76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81D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88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72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6FA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CD2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640"/>
    <w:rsid w:val="00F1686F"/>
    <w:rsid w:val="00F1695C"/>
    <w:rsid w:val="00F16B3F"/>
    <w:rsid w:val="00F16BA8"/>
    <w:rsid w:val="00F16CAF"/>
    <w:rsid w:val="00F16CB9"/>
    <w:rsid w:val="00F16E59"/>
    <w:rsid w:val="00F16E8E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480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E75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519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253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D93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8A8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7C0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4FC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91D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86136\Desktop\&#23459;&#20256;&#25991;&#20214;\2024&#24180;5&#26376;&#23459;&#20256;&#25991;&#20214;-&#24352;&#33538;&#25165;\&#39640;&#20998;&#23376;&#37327;&#28342;&#21058;&#22411;&#32858;&#37231;&#26641;&#33026;\&#35266;&#28857;&#25968;&#25454;&#22270;&#34920;&#27169;&#26495;-&#39640;&#20998;&#23376;&#37327;&#28342;&#21058;&#22411;&#32858;&#37231;&#26641;&#33026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86136\Desktop\&#23459;&#20256;&#25991;&#20214;\2024&#24180;5&#26376;&#23459;&#20256;&#25991;&#20214;-&#24352;&#33538;&#25165;\&#39640;&#20998;&#23376;&#37327;&#28342;&#21058;&#22411;&#32858;&#37231;&#26641;&#33026;\&#35266;&#28857;&#25968;&#25454;&#22270;&#34920;&#27169;&#26495;-&#39640;&#20998;&#23376;&#37327;&#28342;&#21058;&#22411;&#32858;&#37231;&#26641;&#33026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r>
              <a:rPr lang="zh-CN" altLang="en-US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cs typeface="Times New Roman" panose="02020603050405020304" charset="0"/>
              </a:rPr>
              <a:t>全球市场规模</a:t>
            </a:r>
            <a:r>
              <a:rPr lang="en-US" altLang="zh-CN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cs typeface="Times New Roman" panose="02020603050405020304" charset="0"/>
              </a:rPr>
              <a:t>(</a:t>
            </a:r>
            <a:r>
              <a:rPr lang="zh-CN" altLang="en-US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cs typeface="Times New Roman" panose="02020603050405020304" charset="0"/>
              </a:rPr>
              <a:t>百万美元</a:t>
            </a:r>
            <a:r>
              <a:rPr lang="en-US" altLang="zh-CN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cs typeface="Times New Roman" panose="02020603050405020304" charset="0"/>
              </a:rPr>
              <a:t>)</a:t>
            </a:r>
            <a:endParaRPr lang="en-US" altLang="zh-CN"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Times New Roman" panose="02020603050405020304" charset="0"/>
              <a:cs typeface="Times New Roman" panose="02020603050405020304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783950617284"/>
          <c:y val="0.139741503267974"/>
          <c:w val="0.956882716049383"/>
          <c:h val="0.763978104575163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全球总体!$R$7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全球总体!$T$6:$U$6</c:f>
              <c:numCache>
                <c:formatCode>General</c:formatCode>
                <c:ptCount val="2"/>
                <c:pt idx="0">
                  <c:v>2024</c:v>
                </c:pt>
                <c:pt idx="1">
                  <c:v>2030</c:v>
                </c:pt>
              </c:numCache>
            </c:numRef>
          </c:cat>
          <c:val>
            <c:numRef>
              <c:f>全球总体!$T$7:$U$7</c:f>
              <c:numCache>
                <c:formatCode>#,##0_ </c:formatCode>
                <c:ptCount val="2"/>
                <c:pt idx="0">
                  <c:v>238.62</c:v>
                </c:pt>
                <c:pt idx="1">
                  <c:v>312.35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serLines>
          <c:spPr>
            <a:ln w="15875" cap="flat" cmpd="sng" algn="ctr">
              <a:solidFill>
                <a:srgbClr val="002060"/>
              </a:solidFill>
              <a:round/>
              <a:headEnd type="triangle"/>
            </a:ln>
            <a:effectLst/>
          </c:spPr>
        </c:serLines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>
          <a:latin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  <a:r>
              <a:rPr lang="zh-CN" sz="1100"/>
              <a:t>全球市场主要企业排名</a:t>
            </a:r>
            <a:endParaRPr lang="en-US" sz="1100"/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企业收入!$I$1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rgbClr val="002060"/>
            </a:solidFill>
          </c:spPr>
          <c:invertIfNegative val="0"/>
          <c:dPt>
            <c:idx val="0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企业收入!$H$2:$H$11</c:f>
              <c:strCache>
                <c:ptCount val="10"/>
                <c:pt idx="0">
                  <c:v>Evonik</c:v>
                </c:pt>
                <c:pt idx="1">
                  <c:v>Toyobo</c:v>
                </c:pt>
                <c:pt idx="2">
                  <c:v>SK Chemicals</c:v>
                </c:pt>
                <c:pt idx="3">
                  <c:v>Bostik</c:v>
                </c:pt>
                <c:pt idx="4">
                  <c:v>Covestro</c:v>
                </c:pt>
                <c:pt idx="5">
                  <c:v>Mitsubishi Chemical</c:v>
                </c:pt>
                <c:pt idx="6">
                  <c:v>苏州瀚海新材料</c:v>
                </c:pt>
                <c:pt idx="7">
                  <c:v>上海天洋</c:v>
                </c:pt>
                <c:pt idx="8">
                  <c:v>长兴材料</c:v>
                </c:pt>
                <c:pt idx="9">
                  <c:v>Helios Resins</c:v>
                </c:pt>
              </c:strCache>
            </c:strRef>
          </c:cat>
          <c:val>
            <c:numRef>
              <c:f>企业收入!$I$2:$I$11</c:f>
              <c:numCache>
                <c:formatCode>0.0%</c:formatCode>
                <c:ptCount val="10"/>
                <c:pt idx="0">
                  <c:v>0.463196286472148</c:v>
                </c:pt>
                <c:pt idx="1">
                  <c:v>0.218998673740053</c:v>
                </c:pt>
                <c:pt idx="2">
                  <c:v>0.198607427055703</c:v>
                </c:pt>
                <c:pt idx="3">
                  <c:v>0.159192639257294</c:v>
                </c:pt>
                <c:pt idx="4">
                  <c:v>0.113602453580902</c:v>
                </c:pt>
                <c:pt idx="5">
                  <c:v>0.0913047082228117</c:v>
                </c:pt>
                <c:pt idx="6">
                  <c:v>0.075762599469496</c:v>
                </c:pt>
                <c:pt idx="7">
                  <c:v>0.0452586206896552</c:v>
                </c:pt>
                <c:pt idx="8">
                  <c:v>0.0412383952254642</c:v>
                </c:pt>
                <c:pt idx="9">
                  <c:v>0.0372181697612732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t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baseline="0">
          <a:latin typeface="Times New Roman" panose="02020603050405020304" charset="0"/>
          <a:ea typeface="宋体" panose="02010600030101010101" charset="-122"/>
        </a:defRPr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0.43661</cdr:x>
      <cdr:y>0.29825</cdr:y>
    </cdr:from>
    <cdr:to>
      <cdr:x>0.56834</cdr:x>
      <cdr:y>0.41076</cdr:y>
    </cdr:to>
    <cdr:sp>
      <cdr:nvSpPr>
        <cdr:cNvPr id="2" name="椭圆 1"/>
        <cdr:cNvSpPr/>
      </cdr:nvSpPr>
      <cdr:spPr xmlns:a="http://schemas.openxmlformats.org/drawingml/2006/main">
        <a:xfrm xmlns:a="http://schemas.openxmlformats.org/drawingml/2006/main" rot="20847704">
          <a:off x="2797794" y="912652"/>
          <a:ext cx="844098" cy="344275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endParaRPr lang="zh-CN" sz="1000" baseline="0">
            <a:latin typeface="Times New Roman" panose="02020603050405020304" charset="0"/>
            <a:ea typeface="宋体" panose="02010600030101010101" charset="-122"/>
            <a:cs typeface="Times New Roman" panose="02020603050405020304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1179</Words>
  <Characters>1415</Characters>
  <Lines>10</Lines>
  <Paragraphs>2</Paragraphs>
  <TotalTime>0</TotalTime>
  <ScaleCrop>false</ScaleCrop>
  <LinksUpToDate>false</LinksUpToDate>
  <CharactersWithSpaces>1423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</cp:lastModifiedBy>
  <dcterms:modified xsi:type="dcterms:W3CDTF">2024-06-28T10:31:19Z</dcterms:modified>
  <cp:revision>964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AF17F62603D14EFA8AD90325D1508261_13</vt:lpwstr>
  </property>
</Properties>
</file>