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DF3A8">
      <w:pPr>
        <w:pStyle w:val="2"/>
        <w:bidi w:val="0"/>
        <w:rPr>
          <w:rFonts w:hint="eastAsia" w:ascii="楷体" w:hAnsi="楷体" w:eastAsia="楷体" w:cs="楷体"/>
          <w:sz w:val="28"/>
          <w:szCs w:val="28"/>
        </w:rPr>
      </w:pPr>
      <w:r>
        <w:rPr>
          <w:rFonts w:hint="eastAsia" w:ascii="楷体" w:hAnsi="楷体" w:eastAsia="楷体" w:cs="楷体"/>
          <w:sz w:val="44"/>
          <w:szCs w:val="44"/>
        </w:rPr>
        <w:t>多特异性抗体免疫原性风险评估</w:t>
      </w:r>
      <w:bookmarkStart w:id="0" w:name="_GoBack"/>
      <w:bookmarkEnd w:id="0"/>
    </w:p>
    <w:p w14:paraId="0D190E29">
      <w:pPr>
        <w:rPr>
          <w:rFonts w:hint="eastAsia" w:ascii="楷体" w:hAnsi="楷体" w:eastAsia="楷体" w:cs="楷体"/>
          <w:sz w:val="28"/>
          <w:szCs w:val="28"/>
        </w:rPr>
      </w:pPr>
    </w:p>
    <w:p w14:paraId="2E5DACF7">
      <w:pPr>
        <w:pStyle w:val="3"/>
        <w:bidi w:val="0"/>
        <w:rPr>
          <w:rFonts w:hint="eastAsia" w:ascii="楷体" w:hAnsi="楷体" w:eastAsia="楷体" w:cs="楷体"/>
        </w:rPr>
      </w:pPr>
      <w:r>
        <w:rPr>
          <w:rFonts w:hint="eastAsia" w:ascii="楷体" w:hAnsi="楷体" w:eastAsia="楷体" w:cs="楷体"/>
        </w:rPr>
        <w:t>前  言</w:t>
      </w:r>
    </w:p>
    <w:p w14:paraId="6079F1CC">
      <w:pPr>
        <w:rPr>
          <w:rFonts w:hint="eastAsia" w:ascii="楷体" w:hAnsi="楷体" w:eastAsia="楷体" w:cs="楷体"/>
          <w:sz w:val="28"/>
          <w:szCs w:val="28"/>
        </w:rPr>
      </w:pPr>
      <w:r>
        <w:rPr>
          <w:rFonts w:hint="eastAsia" w:ascii="楷体" w:hAnsi="楷体" w:eastAsia="楷体" w:cs="楷体"/>
          <w:sz w:val="28"/>
          <w:szCs w:val="28"/>
        </w:rPr>
        <w:t>免疫原性风险评估是生物药物开发的重要组成部分。多特异性抗体在治疗方面表现出特异性好、选择性好等特性，但由于其结构组成、大小、是否含有Fc及靶点结合亲和力等因素，容易产生免疫原性，且风险评估挑战大。</w:t>
      </w:r>
    </w:p>
    <w:p w14:paraId="23F5C8BB">
      <w:pPr>
        <w:rPr>
          <w:rFonts w:hint="eastAsia" w:ascii="楷体" w:hAnsi="楷体" w:eastAsia="楷体" w:cs="楷体"/>
          <w:sz w:val="28"/>
          <w:szCs w:val="28"/>
        </w:rPr>
      </w:pPr>
    </w:p>
    <w:p w14:paraId="0DAEBE98">
      <w:pPr>
        <w:pStyle w:val="3"/>
        <w:bidi w:val="0"/>
        <w:rPr>
          <w:rFonts w:hint="eastAsia" w:ascii="楷体" w:hAnsi="楷体" w:eastAsia="楷体" w:cs="楷体"/>
        </w:rPr>
      </w:pPr>
      <w:r>
        <w:rPr>
          <w:rFonts w:hint="eastAsia" w:ascii="楷体" w:hAnsi="楷体" w:eastAsia="楷体" w:cs="楷体"/>
        </w:rPr>
        <w:t>01多特异性抗体的免疫原性来源</w:t>
      </w:r>
    </w:p>
    <w:p w14:paraId="230D54F5">
      <w:pPr>
        <w:rPr>
          <w:rFonts w:hint="eastAsia" w:ascii="楷体" w:hAnsi="楷体" w:eastAsia="楷体" w:cs="楷体"/>
          <w:b/>
          <w:bCs/>
          <w:sz w:val="28"/>
          <w:szCs w:val="28"/>
        </w:rPr>
      </w:pPr>
      <w:r>
        <w:rPr>
          <w:rFonts w:hint="eastAsia" w:ascii="楷体" w:hAnsi="楷体" w:eastAsia="楷体" w:cs="楷体"/>
          <w:b/>
          <w:bCs/>
          <w:sz w:val="28"/>
          <w:szCs w:val="28"/>
        </w:rPr>
        <w:t>序列注意事项</w:t>
      </w:r>
    </w:p>
    <w:p w14:paraId="5068737D">
      <w:pPr>
        <w:rPr>
          <w:rFonts w:hint="eastAsia" w:ascii="楷体" w:hAnsi="楷体" w:eastAsia="楷体" w:cs="楷体"/>
          <w:sz w:val="28"/>
          <w:szCs w:val="28"/>
        </w:rPr>
      </w:pPr>
      <w:r>
        <w:rPr>
          <w:rFonts w:hint="eastAsia" w:ascii="楷体" w:hAnsi="楷体" w:eastAsia="楷体" w:cs="楷体"/>
          <w:sz w:val="28"/>
          <w:szCs w:val="28"/>
        </w:rPr>
        <w:t>氨基酸序列和T细胞表位含量是产生免疫反应风险的主要因素。多特异性疗法采用多种蛋白质工程技术，以非天然方式将特定的结构域汇集在一起，以便同时进行多靶点识别，例如knobs-in-holes、CrossMAb、Triomab、SEED、CODV、DART®、TRIDENT、BiTE®、BiKE、TriKE、MATCH、nanobody、diabody、diabody-Ig等。</w:t>
      </w:r>
    </w:p>
    <w:p w14:paraId="27D90E4D">
      <w:pPr>
        <w:rPr>
          <w:rFonts w:hint="eastAsia" w:ascii="楷体" w:hAnsi="楷体" w:eastAsia="楷体" w:cs="楷体"/>
          <w:sz w:val="28"/>
          <w:szCs w:val="28"/>
        </w:rPr>
      </w:pPr>
      <w:r>
        <w:rPr>
          <w:rFonts w:hint="eastAsia" w:ascii="楷体" w:hAnsi="楷体" w:eastAsia="楷体" w:cs="楷体"/>
          <w:sz w:val="28"/>
          <w:szCs w:val="28"/>
        </w:rPr>
        <w:t>这类设计和优化的单价或多价的抗体药可能会增加抗体分子的免疫原性。例如，使用抗体片段和接头分子可能导致产生全长亲本抗体中不存在的新表位，或暴露隐藏在亲本抗体结构中的隐藏表位。与亲本抗体相比，这些表位可能会增加双特异性抗体的免疫原性风险。</w:t>
      </w:r>
    </w:p>
    <w:p w14:paraId="7B246873">
      <w:pPr>
        <w:rPr>
          <w:rFonts w:hint="eastAsia" w:ascii="楷体" w:hAnsi="楷体" w:eastAsia="楷体" w:cs="楷体"/>
          <w:b/>
          <w:bCs/>
          <w:sz w:val="28"/>
          <w:szCs w:val="28"/>
        </w:rPr>
      </w:pPr>
      <w:r>
        <w:rPr>
          <w:rFonts w:hint="eastAsia" w:ascii="楷体" w:hAnsi="楷体" w:eastAsia="楷体" w:cs="楷体"/>
          <w:b/>
          <w:bCs/>
          <w:sz w:val="28"/>
          <w:szCs w:val="28"/>
        </w:rPr>
        <w:t>关键质量属性（CQA）</w:t>
      </w:r>
    </w:p>
    <w:p w14:paraId="56D836B1">
      <w:pPr>
        <w:rPr>
          <w:rFonts w:hint="eastAsia" w:ascii="楷体" w:hAnsi="楷体" w:eastAsia="楷体" w:cs="楷体"/>
          <w:sz w:val="28"/>
          <w:szCs w:val="28"/>
        </w:rPr>
      </w:pPr>
      <w:r>
        <w:rPr>
          <w:rFonts w:hint="eastAsia" w:ascii="楷体" w:hAnsi="楷体" w:eastAsia="楷体" w:cs="楷体"/>
          <w:sz w:val="28"/>
          <w:szCs w:val="28"/>
        </w:rPr>
        <w:t>CQA风险因素也与多特异性抗体相关，如蛋白质聚集体、翻译后修饰、宿主细胞和工艺相关杂质（如HCP、HCD、内毒素、色谱树脂、污染物和降解物等）、制剂赋形剂和容器封闭等。鉴于多特异性抗体分子中不同功能域的非天然排列，与靶蛋白可能形成大型复合物，导致免疫原性风险增加。如ABT-122和JNJ-61178104是在阿达木单抗（TNF-α，三聚体）骨架上添加IL-17A结合域（IL-17A，二聚体）的双抗。在健康志愿者研究中，发现ABT-122和JNJ-61178104 的ADA发生率分别为99%和100%。</w:t>
      </w:r>
    </w:p>
    <w:p w14:paraId="6882494A">
      <w:pPr>
        <w:rPr>
          <w:rFonts w:hint="eastAsia" w:ascii="楷体" w:hAnsi="楷体" w:eastAsia="楷体" w:cs="楷体"/>
          <w:sz w:val="28"/>
          <w:szCs w:val="28"/>
        </w:rPr>
      </w:pPr>
      <w:r>
        <w:rPr>
          <w:rFonts w:hint="eastAsia" w:ascii="楷体" w:hAnsi="楷体" w:eastAsia="楷体" w:cs="楷体"/>
          <w:b/>
          <w:bCs/>
          <w:sz w:val="28"/>
          <w:szCs w:val="28"/>
        </w:rPr>
        <w:t>免疫调节</w:t>
      </w:r>
      <w:r>
        <w:rPr>
          <w:rFonts w:hint="eastAsia" w:ascii="楷体" w:hAnsi="楷体" w:eastAsia="楷体" w:cs="楷体"/>
          <w:sz w:val="28"/>
          <w:szCs w:val="28"/>
        </w:rPr>
        <w:t>  </w:t>
      </w:r>
    </w:p>
    <w:p w14:paraId="79A43A0E">
      <w:pPr>
        <w:rPr>
          <w:rFonts w:hint="eastAsia" w:ascii="楷体" w:hAnsi="楷体" w:eastAsia="楷体" w:cs="楷体"/>
          <w:sz w:val="28"/>
          <w:szCs w:val="28"/>
        </w:rPr>
      </w:pPr>
      <w:r>
        <w:rPr>
          <w:rFonts w:hint="eastAsia" w:ascii="楷体" w:hAnsi="楷体" w:eastAsia="楷体" w:cs="楷体"/>
          <w:sz w:val="28"/>
          <w:szCs w:val="28"/>
        </w:rPr>
        <w:t>多特异性疗法关于免疫调节数据在不断增加，免疫原性风险因素逐渐成为关键因素。如药物分子是否涉及多个免疫检查点的拮抗作用？是否结合B细胞？是否涉及免疫检查点激动作用？nivolumab单一治疗时ADA体发生率为11.2%，nivolumab与ipilimumab联合治疗时ADA跃升至37.8%。CD3是桥联细胞的常用靶点，而CD3的结合似乎容易产生ADA反应，如otelixizumab或teplizumab。此外，靶蛋白为多聚体膜蛋白的抗体分子，可介导细胞表面的复合物形成。当这些靶点在抗原呈递细胞中表达时，可以促进复杂的摄取并增加T细胞介导的适应性免疫应答。</w:t>
      </w:r>
    </w:p>
    <w:p w14:paraId="0E45F241">
      <w:pPr>
        <w:rPr>
          <w:rFonts w:hint="eastAsia" w:ascii="楷体" w:hAnsi="楷体" w:eastAsia="楷体" w:cs="楷体"/>
          <w:sz w:val="28"/>
          <w:szCs w:val="28"/>
        </w:rPr>
      </w:pPr>
    </w:p>
    <w:p w14:paraId="33D63319">
      <w:pPr>
        <w:pStyle w:val="3"/>
        <w:bidi w:val="0"/>
        <w:rPr>
          <w:rFonts w:hint="eastAsia" w:ascii="楷体" w:hAnsi="楷体" w:eastAsia="楷体" w:cs="楷体"/>
        </w:rPr>
      </w:pPr>
      <w:r>
        <w:rPr>
          <w:rFonts w:hint="eastAsia" w:ascii="楷体" w:hAnsi="楷体" w:eastAsia="楷体" w:cs="楷体"/>
        </w:rPr>
        <w:t>02多特异性抗体生物分析策略</w:t>
      </w:r>
    </w:p>
    <w:p w14:paraId="3C2996E3">
      <w:pPr>
        <w:rPr>
          <w:rFonts w:hint="eastAsia" w:ascii="楷体" w:hAnsi="楷体" w:eastAsia="楷体" w:cs="楷体"/>
          <w:sz w:val="28"/>
          <w:szCs w:val="28"/>
        </w:rPr>
      </w:pPr>
      <w:r>
        <w:rPr>
          <w:rFonts w:hint="eastAsia" w:ascii="楷体" w:hAnsi="楷体" w:eastAsia="楷体" w:cs="楷体"/>
          <w:sz w:val="28"/>
          <w:szCs w:val="28"/>
        </w:rPr>
        <w:t>多特异性抗体药物较传统单抗药物更为复杂，整合PK、ADA和PD数据有助于了解免疫原性的临床影响。运用科学和战略性的判断非常重要，需要充分考虑测定形式、样品收集的预分析以及靶标和治疗方法的潜在生物学。</w:t>
      </w:r>
    </w:p>
    <w:p w14:paraId="084B4CE4">
      <w:pPr>
        <w:rPr>
          <w:rFonts w:hint="eastAsia" w:ascii="楷体" w:hAnsi="楷体" w:eastAsia="楷体" w:cs="楷体"/>
          <w:b/>
          <w:bCs/>
          <w:sz w:val="28"/>
          <w:szCs w:val="28"/>
        </w:rPr>
      </w:pPr>
      <w:r>
        <w:rPr>
          <w:rFonts w:hint="eastAsia" w:ascii="楷体" w:hAnsi="楷体" w:eastAsia="楷体" w:cs="楷体"/>
          <w:b/>
          <w:bCs/>
          <w:sz w:val="28"/>
          <w:szCs w:val="28"/>
        </w:rPr>
        <w:t>药代动力学PK</w:t>
      </w:r>
    </w:p>
    <w:p w14:paraId="7EF0696E">
      <w:pPr>
        <w:rPr>
          <w:rFonts w:hint="eastAsia" w:ascii="楷体" w:hAnsi="楷体" w:eastAsia="楷体" w:cs="楷体"/>
          <w:sz w:val="28"/>
          <w:szCs w:val="28"/>
        </w:rPr>
      </w:pPr>
      <w:r>
        <w:rPr>
          <w:rFonts w:hint="eastAsia" w:ascii="楷体" w:hAnsi="楷体" w:eastAsia="楷体" w:cs="楷体"/>
          <w:sz w:val="28"/>
          <w:szCs w:val="28"/>
        </w:rPr>
        <w:t> 一般多特异性抗体药物PK方面的要求与单抗药物相同，但需要对其固有特性予以特殊考虑。如用竞争的抗独特型抗体或靶点蛋白只能检测同时具有未占据的抗TNF-α和未占据的抗IL-17A的完全游离抗体分子。还需要额外检测游离adalimumab或游离IL-17A结合域，可以用两种靶点的竞争型抗独特型抗体与非竞争型抗独特型抗体配对，分别检测两种游离形式的分子。</w:t>
      </w:r>
    </w:p>
    <w:p w14:paraId="0BFDD7EB">
      <w:pPr>
        <w:rPr>
          <w:rFonts w:hint="eastAsia" w:ascii="楷体" w:hAnsi="楷体" w:eastAsia="楷体" w:cs="楷体"/>
          <w:b/>
          <w:bCs/>
          <w:sz w:val="28"/>
          <w:szCs w:val="28"/>
        </w:rPr>
      </w:pPr>
      <w:r>
        <w:rPr>
          <w:rFonts w:hint="eastAsia" w:ascii="楷体" w:hAnsi="楷体" w:eastAsia="楷体" w:cs="楷体"/>
          <w:b/>
          <w:bCs/>
          <w:sz w:val="28"/>
          <w:szCs w:val="28"/>
        </w:rPr>
        <w:t>抗药抗体ADA</w:t>
      </w:r>
    </w:p>
    <w:p w14:paraId="28878909">
      <w:pPr>
        <w:rPr>
          <w:rFonts w:hint="eastAsia" w:ascii="楷体" w:hAnsi="楷体" w:eastAsia="楷体" w:cs="楷体"/>
          <w:sz w:val="28"/>
          <w:szCs w:val="28"/>
        </w:rPr>
      </w:pPr>
      <w:r>
        <w:rPr>
          <w:rFonts w:hint="eastAsia" w:ascii="楷体" w:hAnsi="楷体" w:eastAsia="楷体" w:cs="楷体"/>
          <w:sz w:val="28"/>
          <w:szCs w:val="28"/>
        </w:rPr>
        <w:t>与PK生物分析策略考虑类似，多特异性抗体免疫原性测定的选择和开发，也应在药物开发阶段进行适当的科学和战略性思考。桥接法测定ADA可以检测不同结合亲和力水平和不同亚型的ADA，但这需要所检测的样本具有高Ctrough。另外，方法学开发要充分掌握靶点特点和药物结构。通常基于细胞的抗药物中和抗体 (nAb)评估被认为是金标准。如HC-12的整个临床开发过程中评估nAb很重要，但我们建议不要开发专门的中和抗体检测方法。相反，一种利用游离PK、PD和ADA等测定数据整合方法，比使用独立的nAb测定更具信息价值。FDA指南指出，以数据整合方法判断ADA中和活性具有潜力。</w:t>
      </w:r>
    </w:p>
    <w:p w14:paraId="5C122BE0">
      <w:pPr>
        <w:rPr>
          <w:rFonts w:hint="eastAsia" w:ascii="楷体" w:hAnsi="楷体" w:eastAsia="楷体" w:cs="楷体"/>
          <w:b/>
          <w:bCs/>
          <w:sz w:val="28"/>
          <w:szCs w:val="28"/>
        </w:rPr>
      </w:pPr>
      <w:r>
        <w:rPr>
          <w:rFonts w:hint="eastAsia" w:ascii="楷体" w:hAnsi="楷体" w:eastAsia="楷体" w:cs="楷体"/>
          <w:b/>
          <w:bCs/>
          <w:sz w:val="28"/>
          <w:szCs w:val="28"/>
        </w:rPr>
        <w:t>药效PD</w:t>
      </w:r>
    </w:p>
    <w:p w14:paraId="2E9D4AC9">
      <w:pPr>
        <w:rPr>
          <w:rFonts w:hint="eastAsia" w:ascii="楷体" w:hAnsi="楷体" w:eastAsia="楷体" w:cs="楷体"/>
          <w:sz w:val="28"/>
          <w:szCs w:val="28"/>
        </w:rPr>
      </w:pPr>
      <w:r>
        <w:rPr>
          <w:rFonts w:hint="eastAsia" w:ascii="楷体" w:hAnsi="楷体" w:eastAsia="楷体" w:cs="楷体"/>
          <w:sz w:val="28"/>
          <w:szCs w:val="28"/>
        </w:rPr>
        <w:t>就HC-12而言，基于治疗药物的作用机制，适当PD评估可能包括循环系统中游离TNF-α和IL-17A细胞因子以及自身免疫性疾病标志物的定量检测。虽然更具挑战性和复杂性，但其PD评估可能包括TNF-α、IL-17A通路特异性细胞应答。基于假设，这种PD生物标志物应该可以很好地跟踪药物浓度水平，并且以足够灵敏检测nAb反应。</w:t>
      </w:r>
    </w:p>
    <w:p w14:paraId="03A0C877">
      <w:pPr>
        <w:rPr>
          <w:rFonts w:hint="eastAsia" w:ascii="楷体" w:hAnsi="楷体" w:eastAsia="楷体" w:cs="楷体"/>
          <w:sz w:val="28"/>
          <w:szCs w:val="28"/>
        </w:rPr>
      </w:pPr>
      <w:r>
        <w:rPr>
          <w:rFonts w:hint="eastAsia" w:ascii="楷体" w:hAnsi="楷体" w:eastAsia="楷体" w:cs="楷体"/>
          <w:sz w:val="28"/>
          <w:szCs w:val="28"/>
        </w:rPr>
        <w:t>以上研究案例说明充分了解药物和靶标的潜在四级结构对于多特异性抗体药物研究尤为重要。这些结构可能形成大型免疫复合物来增加免疫原性发生率。对于多特异性疗法，在风险评估中考虑药理学对免疫原性的潜在影响至关重要。</w:t>
      </w:r>
    </w:p>
    <w:p w14:paraId="718D7896">
      <w:pPr>
        <w:rPr>
          <w:rFonts w:hint="eastAsia" w:ascii="楷体" w:hAnsi="楷体" w:eastAsia="楷体" w:cs="楷体"/>
          <w:sz w:val="28"/>
          <w:szCs w:val="28"/>
        </w:rPr>
      </w:pPr>
    </w:p>
    <w:p w14:paraId="06423A33">
      <w:pPr>
        <w:pStyle w:val="3"/>
        <w:bidi w:val="0"/>
        <w:rPr>
          <w:rFonts w:hint="eastAsia" w:ascii="楷体" w:hAnsi="楷体" w:eastAsia="楷体" w:cs="楷体"/>
        </w:rPr>
      </w:pPr>
      <w:r>
        <w:rPr>
          <w:rFonts w:hint="eastAsia" w:ascii="楷体" w:hAnsi="楷体" w:eastAsia="楷体" w:cs="楷体"/>
        </w:rPr>
        <w:t>✦抗独特型抗体技术服务</w:t>
      </w:r>
    </w:p>
    <w:p w14:paraId="73A00C6C">
      <w:pPr>
        <w:rPr>
          <w:rFonts w:hint="eastAsia" w:ascii="楷体" w:hAnsi="楷体" w:eastAsia="楷体" w:cs="楷体"/>
          <w:sz w:val="28"/>
          <w:szCs w:val="28"/>
        </w:rPr>
      </w:pPr>
      <w:r>
        <w:rPr>
          <w:rFonts w:hint="eastAsia" w:ascii="楷体" w:hAnsi="楷体" w:eastAsia="楷体" w:cs="楷体"/>
          <w:sz w:val="28"/>
          <w:szCs w:val="28"/>
        </w:rPr>
        <w:t>义翘神州有多种方案可以解决抗独特型抗体开发中遇到的难点问题，可以提供从抗原制备、抗独特型抗体开发到检测方法建立、试剂盒开发的全套服务。</w:t>
      </w:r>
    </w:p>
    <w:p w14:paraId="6C9BD0AE">
      <w:pPr>
        <w:rPr>
          <w:rFonts w:hint="eastAsia" w:ascii="楷体" w:hAnsi="楷体" w:eastAsia="楷体" w:cs="楷体"/>
          <w:b/>
          <w:bCs/>
          <w:sz w:val="28"/>
          <w:szCs w:val="28"/>
        </w:rPr>
      </w:pPr>
      <w:r>
        <w:rPr>
          <w:rFonts w:hint="eastAsia" w:ascii="楷体" w:hAnsi="楷体" w:eastAsia="楷体" w:cs="楷体"/>
          <w:b/>
          <w:bCs/>
          <w:sz w:val="28"/>
          <w:szCs w:val="28"/>
        </w:rPr>
        <w:t>抗独特型抗体制备服务</w:t>
      </w:r>
    </w:p>
    <w:p w14:paraId="27821BA6">
      <w:pPr>
        <w:rPr>
          <w:rFonts w:hint="eastAsia" w:ascii="楷体" w:hAnsi="楷体" w:eastAsia="楷体" w:cs="楷体"/>
          <w:sz w:val="28"/>
          <w:szCs w:val="28"/>
        </w:rPr>
      </w:pPr>
      <w:r>
        <w:rPr>
          <w:rFonts w:hint="eastAsia" w:ascii="楷体" w:hAnsi="楷体" w:eastAsia="楷体" w:cs="楷体"/>
          <w:b/>
          <w:bCs/>
          <w:sz w:val="28"/>
          <w:szCs w:val="28"/>
        </w:rPr>
        <w:t>丰富的抗原酶切经验：</w:t>
      </w:r>
      <w:r>
        <w:rPr>
          <w:rFonts w:hint="eastAsia" w:ascii="楷体" w:hAnsi="楷体" w:eastAsia="楷体" w:cs="楷体"/>
          <w:sz w:val="28"/>
          <w:szCs w:val="28"/>
        </w:rPr>
        <w:t>全长抗体、双特异抗体、Fc融合蛋白等多类型抗原酶切及纯化经验</w:t>
      </w:r>
    </w:p>
    <w:p w14:paraId="0029D98E">
      <w:pPr>
        <w:rPr>
          <w:rFonts w:hint="eastAsia" w:ascii="楷体" w:hAnsi="楷体" w:eastAsia="楷体" w:cs="楷体"/>
          <w:sz w:val="28"/>
          <w:szCs w:val="28"/>
        </w:rPr>
      </w:pPr>
      <w:r>
        <w:rPr>
          <w:rFonts w:hint="eastAsia" w:ascii="楷体" w:hAnsi="楷体" w:eastAsia="楷体" w:cs="楷体"/>
          <w:b/>
          <w:bCs/>
          <w:sz w:val="28"/>
          <w:szCs w:val="28"/>
        </w:rPr>
        <w:t>免疫原类别多样性：</w:t>
      </w:r>
      <w:r>
        <w:rPr>
          <w:rFonts w:hint="eastAsia" w:ascii="楷体" w:hAnsi="楷体" w:eastAsia="楷体" w:cs="楷体"/>
          <w:sz w:val="28"/>
          <w:szCs w:val="28"/>
        </w:rPr>
        <w:t>全长抗体、F(ab')2 、Fab、ADC偶联抗体药、双抗等</w:t>
      </w:r>
    </w:p>
    <w:p w14:paraId="3926BCAA">
      <w:pPr>
        <w:rPr>
          <w:rFonts w:hint="eastAsia" w:ascii="楷体" w:hAnsi="楷体" w:eastAsia="楷体" w:cs="楷体"/>
          <w:sz w:val="28"/>
          <w:szCs w:val="28"/>
        </w:rPr>
      </w:pPr>
      <w:r>
        <w:rPr>
          <w:rFonts w:hint="eastAsia" w:ascii="楷体" w:hAnsi="楷体" w:eastAsia="楷体" w:cs="楷体"/>
          <w:b/>
          <w:bCs/>
          <w:sz w:val="28"/>
          <w:szCs w:val="28"/>
        </w:rPr>
        <w:t>多种属选择：</w:t>
      </w:r>
      <w:r>
        <w:rPr>
          <w:rFonts w:hint="eastAsia" w:ascii="楷体" w:hAnsi="楷体" w:eastAsia="楷体" w:cs="楷体"/>
          <w:sz w:val="28"/>
          <w:szCs w:val="28"/>
        </w:rPr>
        <w:t>鼠、兔多种纯化方式：Protein A、抗原亲和、总人IgG、同型IgG</w:t>
      </w:r>
    </w:p>
    <w:p w14:paraId="16201F0D">
      <w:pPr>
        <w:rPr>
          <w:rFonts w:hint="eastAsia" w:ascii="楷体" w:hAnsi="楷体" w:eastAsia="楷体" w:cs="楷体"/>
          <w:sz w:val="28"/>
          <w:szCs w:val="28"/>
        </w:rPr>
      </w:pPr>
      <w:r>
        <w:rPr>
          <w:rFonts w:hint="eastAsia" w:ascii="楷体" w:hAnsi="楷体" w:eastAsia="楷体" w:cs="楷体"/>
          <w:b/>
          <w:bCs/>
          <w:sz w:val="28"/>
          <w:szCs w:val="28"/>
        </w:rPr>
        <w:t>多种免疫方案，</w:t>
      </w:r>
      <w:r>
        <w:rPr>
          <w:rFonts w:hint="eastAsia" w:ascii="楷体" w:hAnsi="楷体" w:eastAsia="楷体" w:cs="楷体"/>
          <w:sz w:val="28"/>
          <w:szCs w:val="28"/>
        </w:rPr>
        <w:t>提高效价及筛选成功率</w:t>
      </w:r>
    </w:p>
    <w:p w14:paraId="2A33A809">
      <w:pPr>
        <w:rPr>
          <w:rFonts w:hint="eastAsia" w:ascii="楷体" w:hAnsi="楷体" w:eastAsia="楷体" w:cs="楷体"/>
          <w:sz w:val="28"/>
          <w:szCs w:val="28"/>
        </w:rPr>
      </w:pPr>
      <w:r>
        <w:rPr>
          <w:rFonts w:hint="eastAsia" w:ascii="楷体" w:hAnsi="楷体" w:eastAsia="楷体" w:cs="楷体"/>
          <w:b/>
          <w:bCs/>
          <w:sz w:val="28"/>
          <w:szCs w:val="28"/>
        </w:rPr>
        <w:t>纯化抗体高效价</w:t>
      </w:r>
      <w:r>
        <w:rPr>
          <w:rFonts w:hint="eastAsia" w:ascii="楷体" w:hAnsi="楷体" w:eastAsia="楷体" w:cs="楷体"/>
          <w:sz w:val="28"/>
          <w:szCs w:val="28"/>
        </w:rPr>
        <w:t>、高特异性、人IgG低交叉</w:t>
      </w:r>
    </w:p>
    <w:p w14:paraId="453E1041">
      <w:pPr>
        <w:rPr>
          <w:rFonts w:hint="eastAsia" w:ascii="楷体" w:hAnsi="楷体" w:eastAsia="楷体" w:cs="楷体"/>
          <w:b/>
          <w:bCs/>
          <w:sz w:val="28"/>
          <w:szCs w:val="28"/>
        </w:rPr>
      </w:pPr>
      <w:r>
        <w:rPr>
          <w:rFonts w:hint="eastAsia" w:ascii="楷体" w:hAnsi="楷体" w:eastAsia="楷体" w:cs="楷体"/>
          <w:b/>
          <w:bCs/>
          <w:sz w:val="28"/>
          <w:szCs w:val="28"/>
        </w:rPr>
        <w:t>100%成功率，客户遍布中外</w:t>
      </w:r>
    </w:p>
    <w:p w14:paraId="5C248ED6">
      <w:pPr>
        <w:rPr>
          <w:rFonts w:hint="eastAsia" w:ascii="楷体" w:hAnsi="楷体" w:eastAsia="楷体" w:cs="楷体"/>
          <w:b/>
          <w:bCs/>
          <w:sz w:val="28"/>
          <w:szCs w:val="28"/>
        </w:rPr>
      </w:pPr>
    </w:p>
    <w:p w14:paraId="5505A67E">
      <w:pPr>
        <w:rPr>
          <w:rFonts w:hint="eastAsia" w:ascii="楷体" w:hAnsi="楷体" w:eastAsia="楷体" w:cs="楷体"/>
          <w:b/>
          <w:bCs/>
          <w:sz w:val="28"/>
          <w:szCs w:val="28"/>
        </w:rPr>
      </w:pPr>
      <w:r>
        <w:rPr>
          <w:rFonts w:hint="eastAsia" w:ascii="楷体" w:hAnsi="楷体" w:eastAsia="楷体" w:cs="楷体"/>
          <w:b/>
          <w:bCs/>
          <w:sz w:val="28"/>
          <w:szCs w:val="28"/>
        </w:rPr>
        <w:t>血药浓度检测服务</w:t>
      </w:r>
    </w:p>
    <w:p w14:paraId="713F1A12">
      <w:pPr>
        <w:rPr>
          <w:rFonts w:hint="eastAsia" w:ascii="楷体" w:hAnsi="楷体" w:eastAsia="楷体" w:cs="楷体"/>
          <w:sz w:val="28"/>
          <w:szCs w:val="28"/>
        </w:rPr>
      </w:pPr>
      <w:r>
        <w:rPr>
          <w:rFonts w:hint="eastAsia" w:ascii="楷体" w:hAnsi="楷体" w:eastAsia="楷体" w:cs="楷体"/>
          <w:sz w:val="28"/>
          <w:szCs w:val="28"/>
        </w:rPr>
        <w:t>单抗药物和蛋白类药物血药浓度测定方法建立、验证及相应试剂盒开发生产。</w:t>
      </w:r>
    </w:p>
    <w:p w14:paraId="1F8F7FE9">
      <w:pPr>
        <w:jc w:val="cente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320030" cy="4132580"/>
            <wp:effectExtent l="0" t="0" r="13970" b="1270"/>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4"/>
                    <a:stretch>
                      <a:fillRect/>
                    </a:stretch>
                  </pic:blipFill>
                  <pic:spPr>
                    <a:xfrm>
                      <a:off x="0" y="0"/>
                      <a:ext cx="5320030" cy="4132580"/>
                    </a:xfrm>
                    <a:prstGeom prst="rect">
                      <a:avLst/>
                    </a:prstGeom>
                  </pic:spPr>
                </pic:pic>
              </a:graphicData>
            </a:graphic>
          </wp:inline>
        </w:drawing>
      </w:r>
    </w:p>
    <w:p w14:paraId="29881FB9">
      <w:pPr>
        <w:rPr>
          <w:rFonts w:hint="eastAsia" w:ascii="楷体" w:hAnsi="楷体" w:eastAsia="楷体" w:cs="楷体"/>
          <w:b/>
          <w:bCs/>
          <w:sz w:val="28"/>
          <w:szCs w:val="28"/>
        </w:rPr>
      </w:pPr>
    </w:p>
    <w:p w14:paraId="19CE2F1C">
      <w:pPr>
        <w:rPr>
          <w:rFonts w:hint="eastAsia" w:ascii="楷体" w:hAnsi="楷体" w:eastAsia="楷体" w:cs="楷体"/>
          <w:b/>
          <w:bCs/>
          <w:sz w:val="28"/>
          <w:szCs w:val="28"/>
        </w:rPr>
      </w:pPr>
      <w:r>
        <w:rPr>
          <w:rFonts w:hint="eastAsia" w:ascii="楷体" w:hAnsi="楷体" w:eastAsia="楷体" w:cs="楷体"/>
          <w:b/>
          <w:bCs/>
          <w:sz w:val="28"/>
          <w:szCs w:val="28"/>
        </w:rPr>
        <w:t>免疫原性研究服务</w:t>
      </w:r>
    </w:p>
    <w:p w14:paraId="37D5EB06">
      <w:pPr>
        <w:rPr>
          <w:rFonts w:hint="eastAsia" w:ascii="楷体" w:hAnsi="楷体" w:eastAsia="楷体" w:cs="楷体"/>
          <w:sz w:val="28"/>
          <w:szCs w:val="28"/>
        </w:rPr>
      </w:pPr>
      <w:r>
        <w:rPr>
          <w:rFonts w:hint="eastAsia" w:ascii="楷体" w:hAnsi="楷体" w:eastAsia="楷体" w:cs="楷体"/>
          <w:sz w:val="28"/>
          <w:szCs w:val="28"/>
        </w:rPr>
        <w:t>分析方法设计、建立、验证及试剂盒生产。</w:t>
      </w:r>
    </w:p>
    <w:p w14:paraId="245B35A7">
      <w:pPr>
        <w:rPr>
          <w:rFonts w:hint="eastAsia" w:ascii="楷体" w:hAnsi="楷体" w:eastAsia="楷体" w:cs="楷体"/>
          <w:sz w:val="28"/>
          <w:szCs w:val="28"/>
        </w:rPr>
      </w:pPr>
      <w:r>
        <w:rPr>
          <w:rFonts w:hint="eastAsia" w:ascii="楷体" w:hAnsi="楷体" w:eastAsia="楷体" w:cs="楷体"/>
          <w:sz w:val="28"/>
          <w:szCs w:val="28"/>
        </w:rPr>
        <w:t>成功完成人内皮抑素和G-CSF等一系列免疫原性研究服务，交付客户成品试剂盒。</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232718"/>
    <w:rsid w:val="523C53F3"/>
    <w:rsid w:val="63A57B87"/>
    <w:rsid w:val="662327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2024-12-04T05:28:00Z</dcterms:created>
  <dc:creator>忘了天空的颜色</dc:creator>
  <cp:lastModifiedBy>忘了天空的颜色</cp:lastModifiedBy>
  <dcterms:modified xsi:type="dcterms:W3CDTF">2024-12-04T05:47:00Z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564355D503FA4000AFD4FA5F0F5D7611_11</vt:lpwstr>
  </property>
</Properties>
</file>