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CF797" w14:textId="77777777" w:rsidR="00E754DD" w:rsidRDefault="00000000">
      <w:pPr>
        <w:widowControl/>
        <w:spacing w:line="480" w:lineRule="auto"/>
        <w:jc w:val="center"/>
        <w:rPr>
          <w:rFonts w:ascii="宋体" w:eastAsia="宋体" w:hAnsi="宋体" w:cs="宋体"/>
          <w:b/>
          <w:bCs/>
          <w:color w:val="000000" w:themeColor="text1"/>
          <w:szCs w:val="21"/>
        </w:rPr>
      </w:pPr>
      <w:r>
        <w:rPr>
          <w:rFonts w:ascii="宋体" w:eastAsia="宋体" w:hAnsi="宋体" w:cs="宋体" w:hint="eastAsia"/>
          <w:b/>
          <w:bCs/>
          <w:color w:val="000000" w:themeColor="text1"/>
          <w:szCs w:val="21"/>
        </w:rPr>
        <w:t>血清AMH、</w:t>
      </w:r>
      <w:proofErr w:type="spellStart"/>
      <w:r>
        <w:rPr>
          <w:rFonts w:ascii="宋体" w:eastAsia="宋体" w:hAnsi="宋体" w:cs="宋体" w:hint="eastAsia"/>
          <w:b/>
          <w:bCs/>
          <w:color w:val="000000" w:themeColor="text1"/>
          <w:szCs w:val="21"/>
        </w:rPr>
        <w:t>Hcy</w:t>
      </w:r>
      <w:proofErr w:type="spellEnd"/>
      <w:r>
        <w:rPr>
          <w:rFonts w:ascii="宋体" w:eastAsia="宋体" w:hAnsi="宋体" w:cs="宋体" w:hint="eastAsia"/>
          <w:b/>
          <w:bCs/>
          <w:color w:val="000000" w:themeColor="text1"/>
          <w:szCs w:val="21"/>
        </w:rPr>
        <w:t>水平诊断PCOS价值及与不孕治疗结局关系探寻</w:t>
      </w:r>
    </w:p>
    <w:p w14:paraId="0CB32284" w14:textId="77777777" w:rsidR="00E754DD" w:rsidRDefault="00000000">
      <w:pPr>
        <w:spacing w:line="480" w:lineRule="auto"/>
        <w:rPr>
          <w:rFonts w:ascii="宋体" w:eastAsia="宋体" w:hAnsi="宋体" w:cs="宋体"/>
          <w:color w:val="000000" w:themeColor="text1"/>
          <w:szCs w:val="21"/>
        </w:rPr>
      </w:pPr>
      <w:r>
        <w:rPr>
          <w:rFonts w:ascii="宋体" w:eastAsia="宋体" w:hAnsi="宋体" w:cs="宋体" w:hint="eastAsia"/>
          <w:b/>
          <w:bCs/>
          <w:color w:val="000000" w:themeColor="text1"/>
          <w:szCs w:val="21"/>
        </w:rPr>
        <w:t>摘要：目的：</w:t>
      </w:r>
      <w:r>
        <w:rPr>
          <w:rFonts w:ascii="宋体" w:eastAsia="宋体" w:hAnsi="宋体" w:cs="宋体" w:hint="eastAsia"/>
          <w:color w:val="000000" w:themeColor="text1"/>
          <w:szCs w:val="21"/>
        </w:rPr>
        <w:t>探讨血清AMH、</w:t>
      </w:r>
      <w:proofErr w:type="spellStart"/>
      <w:r>
        <w:rPr>
          <w:rFonts w:ascii="宋体" w:eastAsia="宋体" w:hAnsi="宋体" w:cs="宋体" w:hint="eastAsia"/>
          <w:color w:val="000000" w:themeColor="text1"/>
          <w:szCs w:val="21"/>
        </w:rPr>
        <w:t>Hcy</w:t>
      </w:r>
      <w:proofErr w:type="spellEnd"/>
      <w:r>
        <w:rPr>
          <w:rFonts w:ascii="宋体" w:eastAsia="宋体" w:hAnsi="宋体" w:cs="宋体" w:hint="eastAsia"/>
          <w:color w:val="000000" w:themeColor="text1"/>
          <w:szCs w:val="21"/>
        </w:rPr>
        <w:t>水平诊断PCOS价值及与不孕治疗结局关系。</w:t>
      </w:r>
      <w:r>
        <w:rPr>
          <w:rFonts w:ascii="宋体" w:eastAsia="宋体" w:hAnsi="宋体" w:cs="宋体" w:hint="eastAsia"/>
          <w:b/>
          <w:bCs/>
          <w:color w:val="000000" w:themeColor="text1"/>
          <w:szCs w:val="21"/>
        </w:rPr>
        <w:t>方法：</w:t>
      </w:r>
      <w:r>
        <w:rPr>
          <w:rFonts w:ascii="宋体" w:eastAsia="宋体" w:hAnsi="宋体" w:cs="宋体" w:hint="eastAsia"/>
          <w:color w:val="000000" w:themeColor="text1"/>
          <w:szCs w:val="21"/>
        </w:rPr>
        <w:t>选取2022年3月--2024年1月我院收治的50例PCOS患者为</w:t>
      </w:r>
      <w:r>
        <w:rPr>
          <w:rFonts w:ascii="宋体" w:hAnsi="宋体" w:cs="宋体" w:hint="eastAsia"/>
        </w:rPr>
        <w:t>PCOS组</w:t>
      </w:r>
      <w:r>
        <w:rPr>
          <w:rFonts w:ascii="宋体" w:eastAsia="宋体" w:hAnsi="宋体" w:cs="宋体" w:hint="eastAsia"/>
          <w:color w:val="000000" w:themeColor="text1"/>
          <w:szCs w:val="21"/>
        </w:rPr>
        <w:t>，再选取</w:t>
      </w:r>
      <w:r>
        <w:rPr>
          <w:rFonts w:ascii="宋体" w:eastAsia="宋体" w:hAnsi="宋体" w:cs="宋体" w:hint="eastAsia"/>
          <w:color w:val="0000FF"/>
          <w:szCs w:val="21"/>
        </w:rPr>
        <w:t>100例</w:t>
      </w:r>
      <w:r>
        <w:rPr>
          <w:rFonts w:ascii="宋体" w:eastAsia="宋体" w:hAnsi="宋体" w:cs="宋体" w:hint="eastAsia"/>
          <w:color w:val="000000" w:themeColor="text1"/>
          <w:szCs w:val="21"/>
        </w:rPr>
        <w:t>健康女性为对照组。分析血清AMH、</w:t>
      </w:r>
      <w:proofErr w:type="spellStart"/>
      <w:r>
        <w:rPr>
          <w:rFonts w:ascii="宋体" w:eastAsia="宋体" w:hAnsi="宋体" w:cs="宋体" w:hint="eastAsia"/>
          <w:color w:val="000000" w:themeColor="text1"/>
          <w:szCs w:val="21"/>
        </w:rPr>
        <w:t>Hcy</w:t>
      </w:r>
      <w:proofErr w:type="spellEnd"/>
      <w:r>
        <w:rPr>
          <w:rFonts w:ascii="宋体" w:eastAsia="宋体" w:hAnsi="宋体" w:cs="宋体" w:hint="eastAsia"/>
          <w:color w:val="000000" w:themeColor="text1"/>
          <w:szCs w:val="21"/>
        </w:rPr>
        <w:t>水平的诊断价值以及PCOS患者治疗10个月后结局的关系。</w:t>
      </w:r>
      <w:r>
        <w:rPr>
          <w:rFonts w:ascii="宋体" w:eastAsia="宋体" w:hAnsi="宋体" w:cs="宋体" w:hint="eastAsia"/>
          <w:b/>
          <w:bCs/>
          <w:color w:val="000000" w:themeColor="text1"/>
          <w:szCs w:val="21"/>
        </w:rPr>
        <w:t>结果：</w:t>
      </w:r>
      <w:r>
        <w:rPr>
          <w:rFonts w:ascii="宋体" w:eastAsia="宋体" w:hAnsi="宋体" w:cs="宋体" w:hint="eastAsia"/>
          <w:color w:val="0000FF"/>
        </w:rPr>
        <w:t>两组患者的血清AMH、</w:t>
      </w:r>
      <w:proofErr w:type="spellStart"/>
      <w:r>
        <w:rPr>
          <w:rFonts w:ascii="宋体" w:eastAsia="宋体" w:hAnsi="宋体" w:cs="宋体" w:hint="eastAsia"/>
          <w:color w:val="0000FF"/>
        </w:rPr>
        <w:t>Hcy</w:t>
      </w:r>
      <w:proofErr w:type="spellEnd"/>
      <w:r>
        <w:rPr>
          <w:rFonts w:ascii="宋体" w:eastAsia="宋体" w:hAnsi="宋体" w:cs="宋体" w:hint="eastAsia"/>
          <w:color w:val="0000FF"/>
        </w:rPr>
        <w:t>水平具有较大差异，P＜0.05；血清AMH水平阳性者37例、阴性者113例，血清</w:t>
      </w:r>
      <w:proofErr w:type="spellStart"/>
      <w:r>
        <w:rPr>
          <w:rFonts w:ascii="宋体" w:eastAsia="宋体" w:hAnsi="宋体" w:cs="宋体" w:hint="eastAsia"/>
          <w:color w:val="0000FF"/>
        </w:rPr>
        <w:t>Hcy</w:t>
      </w:r>
      <w:proofErr w:type="spellEnd"/>
      <w:r>
        <w:rPr>
          <w:rFonts w:ascii="宋体" w:eastAsia="宋体" w:hAnsi="宋体" w:cs="宋体" w:hint="eastAsia"/>
          <w:color w:val="0000FF"/>
        </w:rPr>
        <w:t>水平阳性者41例、阴性者109例，联合诊断阳性者50例、阴性者100例；医生联合诊断患者血清AMH、</w:t>
      </w:r>
      <w:proofErr w:type="spellStart"/>
      <w:r>
        <w:rPr>
          <w:rFonts w:ascii="宋体" w:eastAsia="宋体" w:hAnsi="宋体" w:cs="宋体" w:hint="eastAsia"/>
          <w:color w:val="0000FF"/>
        </w:rPr>
        <w:t>Hcy</w:t>
      </w:r>
      <w:proofErr w:type="spellEnd"/>
      <w:r>
        <w:rPr>
          <w:rFonts w:ascii="宋体" w:eastAsia="宋体" w:hAnsi="宋体" w:cs="宋体" w:hint="eastAsia"/>
          <w:color w:val="0000FF"/>
        </w:rPr>
        <w:t>水平敏感度、准确率高于单一检测，P＜0.05；随访10个月，22例妊娠者、28例未妊娠者，</w:t>
      </w:r>
      <w:proofErr w:type="gramStart"/>
      <w:r>
        <w:rPr>
          <w:rFonts w:ascii="宋体" w:eastAsia="宋体" w:hAnsi="宋体" w:cs="宋体" w:hint="eastAsia"/>
          <w:color w:val="0000FF"/>
        </w:rPr>
        <w:t>妊娠组</w:t>
      </w:r>
      <w:proofErr w:type="gramEnd"/>
      <w:r>
        <w:rPr>
          <w:rFonts w:ascii="宋体" w:eastAsia="宋体" w:hAnsi="宋体" w:cs="宋体" w:hint="eastAsia"/>
          <w:color w:val="0000FF"/>
        </w:rPr>
        <w:t>血清AMH、</w:t>
      </w:r>
      <w:proofErr w:type="spellStart"/>
      <w:r>
        <w:rPr>
          <w:rFonts w:ascii="宋体" w:eastAsia="宋体" w:hAnsi="宋体" w:cs="宋体" w:hint="eastAsia"/>
          <w:color w:val="0000FF"/>
        </w:rPr>
        <w:t>Hcy</w:t>
      </w:r>
      <w:proofErr w:type="spellEnd"/>
      <w:r>
        <w:rPr>
          <w:rFonts w:ascii="宋体" w:eastAsia="宋体" w:hAnsi="宋体" w:cs="宋体" w:hint="eastAsia"/>
          <w:color w:val="0000FF"/>
        </w:rPr>
        <w:t>水平低于未妊娠组，P＜0.05。</w:t>
      </w:r>
      <w:r>
        <w:rPr>
          <w:rFonts w:ascii="宋体" w:eastAsia="宋体" w:hAnsi="宋体" w:cs="宋体" w:hint="eastAsia"/>
          <w:b/>
          <w:bCs/>
          <w:color w:val="000000" w:themeColor="text1"/>
          <w:szCs w:val="21"/>
        </w:rPr>
        <w:t>结论：</w:t>
      </w:r>
      <w:r>
        <w:rPr>
          <w:rFonts w:ascii="宋体" w:eastAsia="宋体" w:hAnsi="宋体" w:cs="宋体" w:hint="eastAsia"/>
          <w:color w:val="000000" w:themeColor="text1"/>
          <w:szCs w:val="21"/>
        </w:rPr>
        <w:t>血清AMH、</w:t>
      </w:r>
      <w:proofErr w:type="spellStart"/>
      <w:r>
        <w:rPr>
          <w:rFonts w:ascii="宋体" w:eastAsia="宋体" w:hAnsi="宋体" w:cs="宋体" w:hint="eastAsia"/>
          <w:color w:val="000000" w:themeColor="text1"/>
          <w:szCs w:val="21"/>
        </w:rPr>
        <w:t>Hcy</w:t>
      </w:r>
      <w:proofErr w:type="spellEnd"/>
      <w:r>
        <w:rPr>
          <w:rFonts w:ascii="宋体" w:eastAsia="宋体" w:hAnsi="宋体" w:cs="宋体" w:hint="eastAsia"/>
          <w:color w:val="000000" w:themeColor="text1"/>
          <w:szCs w:val="21"/>
        </w:rPr>
        <w:t>水平诊断PCOS患者敏感度、特异度以及准确率高，且</w:t>
      </w:r>
      <w:r>
        <w:rPr>
          <w:rFonts w:ascii="宋体" w:hAnsi="宋体" w:cs="宋体" w:hint="eastAsia"/>
        </w:rPr>
        <w:t>PCOS患者治疗不孕结局后的AMH、</w:t>
      </w:r>
      <w:proofErr w:type="spellStart"/>
      <w:r>
        <w:rPr>
          <w:rFonts w:ascii="宋体" w:hAnsi="宋体" w:cs="宋体" w:hint="eastAsia"/>
        </w:rPr>
        <w:t>Hcy</w:t>
      </w:r>
      <w:proofErr w:type="spellEnd"/>
      <w:r>
        <w:rPr>
          <w:rFonts w:ascii="宋体" w:hAnsi="宋体" w:cs="宋体" w:hint="eastAsia"/>
        </w:rPr>
        <w:t>水平密切相关，</w:t>
      </w:r>
      <w:r>
        <w:rPr>
          <w:rFonts w:ascii="宋体" w:eastAsia="宋体" w:hAnsi="宋体" w:cs="宋体" w:hint="eastAsia"/>
          <w:color w:val="000000" w:themeColor="text1"/>
          <w:szCs w:val="21"/>
        </w:rPr>
        <w:t>值得在临床上推广。</w:t>
      </w:r>
    </w:p>
    <w:p w14:paraId="4F3FE071" w14:textId="77777777" w:rsidR="00E754DD" w:rsidRDefault="00000000">
      <w:pPr>
        <w:widowControl/>
        <w:spacing w:line="480" w:lineRule="auto"/>
        <w:rPr>
          <w:rFonts w:ascii="宋体" w:eastAsia="宋体" w:hAnsi="宋体" w:cs="宋体"/>
        </w:rPr>
      </w:pPr>
      <w:r>
        <w:rPr>
          <w:rFonts w:ascii="宋体" w:eastAsia="宋体" w:hAnsi="宋体" w:cs="宋体" w:hint="eastAsia"/>
          <w:b/>
          <w:bCs/>
          <w:color w:val="000000" w:themeColor="text1"/>
          <w:szCs w:val="21"/>
        </w:rPr>
        <w:t>关键词：</w:t>
      </w:r>
      <w:r>
        <w:rPr>
          <w:rFonts w:ascii="宋体" w:eastAsia="宋体" w:hAnsi="宋体" w:cs="宋体" w:hint="eastAsia"/>
          <w:color w:val="000000" w:themeColor="text1"/>
          <w:szCs w:val="21"/>
        </w:rPr>
        <w:t>血清AMH；血清</w:t>
      </w:r>
      <w:proofErr w:type="spellStart"/>
      <w:r>
        <w:rPr>
          <w:rFonts w:ascii="宋体" w:eastAsia="宋体" w:hAnsi="宋体" w:cs="宋体" w:hint="eastAsia"/>
          <w:color w:val="000000" w:themeColor="text1"/>
          <w:szCs w:val="21"/>
        </w:rPr>
        <w:t>Hcy</w:t>
      </w:r>
      <w:proofErr w:type="spellEnd"/>
      <w:r>
        <w:rPr>
          <w:rFonts w:ascii="宋体" w:eastAsia="宋体" w:hAnsi="宋体" w:cs="宋体" w:hint="eastAsia"/>
          <w:color w:val="000000" w:themeColor="text1"/>
          <w:szCs w:val="21"/>
        </w:rPr>
        <w:t>；PCOS；不孕治疗结局</w:t>
      </w:r>
    </w:p>
    <w:p w14:paraId="60923B9F" w14:textId="77777777" w:rsidR="00E754DD" w:rsidRDefault="00000000">
      <w:pPr>
        <w:pStyle w:val="a3"/>
        <w:spacing w:line="480" w:lineRule="auto"/>
        <w:rPr>
          <w:rFonts w:ascii="宋体" w:hAnsi="宋体" w:cs="宋体"/>
          <w:color w:val="000000" w:themeColor="text1"/>
          <w:szCs w:val="21"/>
        </w:rPr>
      </w:pPr>
      <w:r>
        <w:rPr>
          <w:rFonts w:ascii="宋体" w:hAnsi="宋体" w:cs="宋体" w:hint="eastAsia"/>
          <w:color w:val="0000FF"/>
        </w:rPr>
        <w:t>多囊卵巢综合征（PCOS）是临床上常见的妇科疾病，严重影响女性的身体健康，需要及时采取措施进行干预</w:t>
      </w:r>
      <w:r>
        <w:rPr>
          <w:rFonts w:ascii="宋体" w:hAnsi="宋体" w:cs="宋体" w:hint="eastAsia"/>
          <w:color w:val="0000FF"/>
          <w:vertAlign w:val="superscript"/>
        </w:rPr>
        <w:t>[1]</w:t>
      </w:r>
      <w:r>
        <w:rPr>
          <w:rFonts w:ascii="宋体" w:hAnsi="宋体" w:cs="宋体" w:hint="eastAsia"/>
          <w:color w:val="0000FF"/>
        </w:rPr>
        <w:t>。</w:t>
      </w:r>
      <w:r>
        <w:rPr>
          <w:rFonts w:ascii="宋体" w:hAnsi="宋体" w:cs="宋体" w:hint="eastAsia"/>
        </w:rPr>
        <w:t>但是由于</w:t>
      </w:r>
      <w:r>
        <w:rPr>
          <w:rFonts w:ascii="宋体" w:hAnsi="宋体" w:cs="宋体" w:hint="eastAsia"/>
          <w:color w:val="0000FF"/>
        </w:rPr>
        <w:t>PCOS患者临床症状和其他妇科疾病</w:t>
      </w:r>
      <w:r>
        <w:rPr>
          <w:rFonts w:ascii="宋体" w:hAnsi="宋体" w:cs="宋体" w:hint="eastAsia"/>
        </w:rPr>
        <w:t>具有一定的相似性，导致临床医生的误诊风险极高。临床上医生的诊断的准确率对于患者后续治疗方案的制定尤为重要。同型半胱氨酸（</w:t>
      </w:r>
      <w:proofErr w:type="spellStart"/>
      <w:r>
        <w:rPr>
          <w:rFonts w:ascii="宋体" w:hAnsi="宋体" w:cs="宋体" w:hint="eastAsia"/>
        </w:rPr>
        <w:t>Hcy</w:t>
      </w:r>
      <w:proofErr w:type="spellEnd"/>
      <w:r>
        <w:rPr>
          <w:rFonts w:ascii="宋体" w:hAnsi="宋体" w:cs="宋体" w:hint="eastAsia"/>
        </w:rPr>
        <w:t>）水平在PCOS患者体内处于高水平状态，主要因胰岛素抵抗、炎症状态和内皮功能障碍所致</w:t>
      </w:r>
      <w:r>
        <w:rPr>
          <w:rFonts w:ascii="宋体" w:hAnsi="宋体" w:cs="宋体" w:hint="eastAsia"/>
          <w:vertAlign w:val="superscript"/>
        </w:rPr>
        <w:t>[2]</w:t>
      </w:r>
      <w:r>
        <w:rPr>
          <w:rFonts w:ascii="宋体" w:hAnsi="宋体" w:cs="宋体" w:hint="eastAsia"/>
        </w:rPr>
        <w:t>。由于PCOS患者体内卵巢中大量未成熟卵泡，促使患者体内血清抗</w:t>
      </w:r>
      <w:proofErr w:type="gramStart"/>
      <w:r>
        <w:rPr>
          <w:rFonts w:ascii="宋体" w:hAnsi="宋体" w:cs="宋体" w:hint="eastAsia"/>
        </w:rPr>
        <w:t>缪勒氏管激素</w:t>
      </w:r>
      <w:proofErr w:type="gramEnd"/>
      <w:r>
        <w:rPr>
          <w:rFonts w:ascii="宋体" w:hAnsi="宋体" w:cs="宋体" w:hint="eastAsia"/>
        </w:rPr>
        <w:t>（AMH）水平较高</w:t>
      </w:r>
      <w:r>
        <w:rPr>
          <w:rFonts w:ascii="宋体" w:hAnsi="宋体" w:cs="宋体" w:hint="eastAsia"/>
          <w:vertAlign w:val="superscript"/>
        </w:rPr>
        <w:t>[3]</w:t>
      </w:r>
      <w:r>
        <w:rPr>
          <w:rFonts w:ascii="宋体" w:hAnsi="宋体" w:cs="宋体" w:hint="eastAsia"/>
          <w:color w:val="0000FF"/>
        </w:rPr>
        <w:t>。因此，医生可以诊断PCOS患者体内的</w:t>
      </w:r>
      <w:proofErr w:type="spellStart"/>
      <w:r>
        <w:rPr>
          <w:rFonts w:ascii="宋体" w:hAnsi="宋体" w:cs="宋体" w:hint="eastAsia"/>
          <w:color w:val="0000FF"/>
        </w:rPr>
        <w:t>Hcy</w:t>
      </w:r>
      <w:proofErr w:type="spellEnd"/>
      <w:r>
        <w:rPr>
          <w:rFonts w:ascii="宋体" w:hAnsi="宋体" w:cs="宋体" w:hint="eastAsia"/>
          <w:color w:val="0000FF"/>
        </w:rPr>
        <w:t>、AMH水平的差异，以此提高临床医生诊断准确率。但</w:t>
      </w:r>
      <w:r>
        <w:rPr>
          <w:rFonts w:ascii="宋体" w:hAnsi="宋体" w:cs="宋体" w:hint="eastAsia"/>
        </w:rPr>
        <w:t>是，仍需大量研究结果沿着血清AMH、</w:t>
      </w:r>
      <w:proofErr w:type="spellStart"/>
      <w:r>
        <w:rPr>
          <w:rFonts w:ascii="宋体" w:hAnsi="宋体" w:cs="宋体" w:hint="eastAsia"/>
        </w:rPr>
        <w:t>Hcy</w:t>
      </w:r>
      <w:proofErr w:type="spellEnd"/>
      <w:r>
        <w:rPr>
          <w:rFonts w:ascii="宋体" w:hAnsi="宋体" w:cs="宋体" w:hint="eastAsia"/>
        </w:rPr>
        <w:t>水平诊断PCOS患者的价值。在</w:t>
      </w:r>
      <w:r>
        <w:rPr>
          <w:rFonts w:ascii="宋体" w:hAnsi="宋体" w:cs="宋体" w:hint="eastAsia"/>
          <w:color w:val="000000" w:themeColor="text1"/>
          <w:szCs w:val="21"/>
        </w:rPr>
        <w:t>此基础之上，选取我院收治的50例PCOS患者、</w:t>
      </w:r>
      <w:r>
        <w:rPr>
          <w:rFonts w:ascii="宋体" w:hAnsi="宋体" w:cs="宋体" w:hint="eastAsia"/>
          <w:color w:val="0000FF"/>
          <w:szCs w:val="21"/>
        </w:rPr>
        <w:t>100例</w:t>
      </w:r>
      <w:r>
        <w:rPr>
          <w:rFonts w:ascii="宋体" w:hAnsi="宋体" w:cs="宋体" w:hint="eastAsia"/>
          <w:color w:val="000000" w:themeColor="text1"/>
          <w:szCs w:val="21"/>
        </w:rPr>
        <w:t>健康女性，分析血清AMH、</w:t>
      </w:r>
      <w:proofErr w:type="spellStart"/>
      <w:r>
        <w:rPr>
          <w:rFonts w:ascii="宋体" w:hAnsi="宋体" w:cs="宋体" w:hint="eastAsia"/>
          <w:color w:val="000000" w:themeColor="text1"/>
          <w:szCs w:val="21"/>
        </w:rPr>
        <w:t>Hcy</w:t>
      </w:r>
      <w:proofErr w:type="spellEnd"/>
      <w:r>
        <w:rPr>
          <w:rFonts w:ascii="宋体" w:hAnsi="宋体" w:cs="宋体" w:hint="eastAsia"/>
          <w:color w:val="000000" w:themeColor="text1"/>
          <w:szCs w:val="21"/>
        </w:rPr>
        <w:t>水平诊断PCOS价值及与不孕治疗结局关系，具体内容如下。</w:t>
      </w:r>
    </w:p>
    <w:p w14:paraId="6506242B" w14:textId="77777777" w:rsidR="00E754DD" w:rsidRDefault="00000000">
      <w:pPr>
        <w:spacing w:line="480" w:lineRule="auto"/>
        <w:rPr>
          <w:rFonts w:ascii="宋体" w:eastAsia="宋体" w:hAnsi="宋体" w:cs="宋体"/>
          <w:color w:val="000000" w:themeColor="text1"/>
          <w:szCs w:val="21"/>
        </w:rPr>
      </w:pPr>
      <w:r>
        <w:rPr>
          <w:rFonts w:ascii="宋体" w:eastAsia="宋体" w:hAnsi="宋体" w:cs="宋体" w:hint="eastAsia"/>
          <w:b/>
          <w:bCs/>
          <w:color w:val="000000" w:themeColor="text1"/>
          <w:szCs w:val="21"/>
        </w:rPr>
        <w:t>1资料与方法</w:t>
      </w:r>
    </w:p>
    <w:p w14:paraId="37A6648E" w14:textId="77777777" w:rsidR="00E754DD" w:rsidRDefault="00000000">
      <w:pPr>
        <w:numPr>
          <w:ilvl w:val="1"/>
          <w:numId w:val="1"/>
        </w:numPr>
        <w:spacing w:line="480" w:lineRule="auto"/>
        <w:rPr>
          <w:rFonts w:ascii="宋体" w:eastAsia="宋体" w:hAnsi="宋体" w:cs="宋体"/>
          <w:color w:val="000000" w:themeColor="text1"/>
          <w:szCs w:val="21"/>
        </w:rPr>
      </w:pPr>
      <w:r>
        <w:rPr>
          <w:rFonts w:ascii="宋体" w:eastAsia="宋体" w:hAnsi="宋体" w:cs="宋体" w:hint="eastAsia"/>
          <w:color w:val="000000" w:themeColor="text1"/>
          <w:szCs w:val="21"/>
        </w:rPr>
        <w:t>一般资料</w:t>
      </w:r>
    </w:p>
    <w:p w14:paraId="056C7AC0" w14:textId="77777777" w:rsidR="00E754DD" w:rsidRDefault="00000000">
      <w:pPr>
        <w:widowControl/>
        <w:spacing w:line="480" w:lineRule="auto"/>
        <w:ind w:firstLineChars="200" w:firstLine="420"/>
        <w:rPr>
          <w:rFonts w:ascii="宋体" w:hAnsi="宋体" w:cs="宋体"/>
          <w:color w:val="000000" w:themeColor="text1"/>
          <w:szCs w:val="21"/>
        </w:rPr>
      </w:pPr>
      <w:r>
        <w:rPr>
          <w:rFonts w:ascii="宋体" w:eastAsia="宋体" w:hAnsi="宋体" w:cs="宋体" w:hint="eastAsia"/>
          <w:color w:val="000000" w:themeColor="text1"/>
          <w:szCs w:val="21"/>
        </w:rPr>
        <w:lastRenderedPageBreak/>
        <w:t>选取2022年3月--2024年1月我院收治的50例PCOS患者为</w:t>
      </w:r>
      <w:r>
        <w:rPr>
          <w:rFonts w:ascii="宋体" w:hAnsi="宋体" w:cs="宋体" w:hint="eastAsia"/>
        </w:rPr>
        <w:t>PCOS组</w:t>
      </w:r>
      <w:r>
        <w:rPr>
          <w:rFonts w:ascii="宋体" w:eastAsia="宋体" w:hAnsi="宋体" w:cs="宋体" w:hint="eastAsia"/>
          <w:color w:val="000000" w:themeColor="text1"/>
          <w:szCs w:val="21"/>
        </w:rPr>
        <w:t>，再选取</w:t>
      </w:r>
      <w:r>
        <w:rPr>
          <w:rFonts w:ascii="宋体" w:eastAsia="宋体" w:hAnsi="宋体" w:cs="宋体" w:hint="eastAsia"/>
          <w:color w:val="0000FF"/>
          <w:szCs w:val="21"/>
        </w:rPr>
        <w:t>100例</w:t>
      </w:r>
      <w:r>
        <w:rPr>
          <w:rFonts w:ascii="宋体" w:eastAsia="宋体" w:hAnsi="宋体" w:cs="宋体" w:hint="eastAsia"/>
          <w:color w:val="000000" w:themeColor="text1"/>
          <w:szCs w:val="21"/>
        </w:rPr>
        <w:t>健康女性为对照组；两组一般资料差异无统计学意义，P&gt;0.05，有可比性，见表1。</w:t>
      </w:r>
      <w:r>
        <w:rPr>
          <w:rFonts w:ascii="宋体" w:eastAsia="宋体" w:hAnsi="宋体" w:cs="宋体" w:hint="eastAsia"/>
        </w:rPr>
        <w:t>伦理委员会审核批准。</w:t>
      </w:r>
    </w:p>
    <w:p w14:paraId="2DADBF17" w14:textId="77777777" w:rsidR="00E754DD" w:rsidRDefault="00000000">
      <w:pPr>
        <w:pStyle w:val="a3"/>
        <w:spacing w:line="480" w:lineRule="auto"/>
        <w:ind w:firstLineChars="0" w:firstLine="0"/>
        <w:jc w:val="center"/>
        <w:rPr>
          <w:rFonts w:ascii="宋体" w:hAnsi="宋体" w:cs="宋体"/>
          <w:szCs w:val="21"/>
        </w:rPr>
      </w:pPr>
      <w:r>
        <w:rPr>
          <w:rFonts w:ascii="宋体" w:hAnsi="宋体" w:cs="宋体" w:hint="eastAsia"/>
          <w:szCs w:val="21"/>
        </w:rPr>
        <w:t>表1</w:t>
      </w:r>
      <w:r>
        <w:rPr>
          <w:rFonts w:ascii="宋体" w:hAnsi="宋体" w:cs="宋体" w:hint="eastAsia"/>
        </w:rPr>
        <w:t>比较三组入组者的一般资料</w:t>
      </w:r>
    </w:p>
    <w:tbl>
      <w:tblPr>
        <w:tblStyle w:val="a4"/>
        <w:tblW w:w="4998"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3"/>
        <w:gridCol w:w="968"/>
        <w:gridCol w:w="5508"/>
      </w:tblGrid>
      <w:tr w:rsidR="00E754DD" w14:paraId="1A762538" w14:textId="77777777">
        <w:trPr>
          <w:trHeight w:val="468"/>
          <w:jc w:val="center"/>
        </w:trPr>
        <w:tc>
          <w:tcPr>
            <w:tcW w:w="1199" w:type="pct"/>
            <w:vMerge w:val="restart"/>
            <w:vAlign w:val="center"/>
          </w:tcPr>
          <w:p w14:paraId="7D8896B1"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组别</w:t>
            </w:r>
          </w:p>
        </w:tc>
        <w:tc>
          <w:tcPr>
            <w:tcW w:w="568" w:type="pct"/>
            <w:vMerge w:val="restart"/>
            <w:vAlign w:val="center"/>
          </w:tcPr>
          <w:p w14:paraId="7C09ED1F"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n</w:t>
            </w:r>
          </w:p>
        </w:tc>
        <w:tc>
          <w:tcPr>
            <w:tcW w:w="3232" w:type="pct"/>
            <w:vMerge w:val="restart"/>
            <w:vAlign w:val="center"/>
          </w:tcPr>
          <w:p w14:paraId="23DAC2F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年龄（</w:t>
            </w:r>
            <w:r>
              <w:rPr>
                <w:rFonts w:ascii="宋体" w:hAnsi="宋体" w:cs="宋体" w:hint="eastAsia"/>
                <w:position w:val="-4"/>
                <w:szCs w:val="21"/>
              </w:rPr>
              <w:object w:dxaOrig="206" w:dyaOrig="242" w14:anchorId="3AD6D4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45pt;height:12.2pt" o:ole="">
                  <v:imagedata r:id="rId5" o:title=""/>
                </v:shape>
                <o:OLEObject Type="Embed" ProgID="Equation.KSEE3" ShapeID="_x0000_i1025" DrawAspect="Content" ObjectID="_1806906143" r:id="rId6"/>
              </w:object>
            </w:r>
            <w:r>
              <w:rPr>
                <w:rFonts w:ascii="宋体" w:hAnsi="宋体" w:cs="宋体" w:hint="eastAsia"/>
                <w:szCs w:val="21"/>
              </w:rPr>
              <w:t>±s</w:t>
            </w:r>
            <w:r>
              <w:rPr>
                <w:rFonts w:ascii="宋体" w:eastAsia="宋体" w:hAnsi="宋体" w:cs="宋体" w:hint="eastAsia"/>
                <w:szCs w:val="21"/>
              </w:rPr>
              <w:t>，岁）</w:t>
            </w:r>
          </w:p>
        </w:tc>
      </w:tr>
      <w:tr w:rsidR="00E754DD" w14:paraId="5D3832ED" w14:textId="77777777">
        <w:trPr>
          <w:trHeight w:val="468"/>
          <w:jc w:val="center"/>
        </w:trPr>
        <w:tc>
          <w:tcPr>
            <w:tcW w:w="1199" w:type="pct"/>
            <w:vMerge/>
            <w:vAlign w:val="center"/>
          </w:tcPr>
          <w:p w14:paraId="417EA49E" w14:textId="77777777" w:rsidR="00E754DD" w:rsidRDefault="00E754DD">
            <w:pPr>
              <w:spacing w:line="360" w:lineRule="auto"/>
              <w:jc w:val="center"/>
              <w:rPr>
                <w:rFonts w:ascii="宋体" w:eastAsia="宋体" w:hAnsi="宋体" w:cs="宋体"/>
                <w:szCs w:val="21"/>
              </w:rPr>
            </w:pPr>
          </w:p>
        </w:tc>
        <w:tc>
          <w:tcPr>
            <w:tcW w:w="568" w:type="pct"/>
            <w:vMerge/>
            <w:vAlign w:val="center"/>
          </w:tcPr>
          <w:p w14:paraId="327E21FB" w14:textId="77777777" w:rsidR="00E754DD" w:rsidRDefault="00E754DD">
            <w:pPr>
              <w:spacing w:line="360" w:lineRule="auto"/>
              <w:jc w:val="center"/>
              <w:rPr>
                <w:rFonts w:ascii="宋体" w:eastAsia="宋体" w:hAnsi="宋体" w:cs="宋体"/>
                <w:szCs w:val="21"/>
              </w:rPr>
            </w:pPr>
          </w:p>
        </w:tc>
        <w:tc>
          <w:tcPr>
            <w:tcW w:w="3232" w:type="pct"/>
            <w:vMerge/>
            <w:vAlign w:val="center"/>
          </w:tcPr>
          <w:p w14:paraId="2BEA7932" w14:textId="77777777" w:rsidR="00E754DD" w:rsidRDefault="00E754DD">
            <w:pPr>
              <w:spacing w:line="360" w:lineRule="auto"/>
              <w:jc w:val="center"/>
              <w:rPr>
                <w:rFonts w:ascii="宋体" w:eastAsia="宋体" w:hAnsi="宋体" w:cs="宋体"/>
                <w:szCs w:val="21"/>
              </w:rPr>
            </w:pPr>
          </w:p>
        </w:tc>
      </w:tr>
      <w:tr w:rsidR="00E754DD" w14:paraId="1841CF1B" w14:textId="77777777">
        <w:trPr>
          <w:trHeight w:val="90"/>
          <w:jc w:val="center"/>
        </w:trPr>
        <w:tc>
          <w:tcPr>
            <w:tcW w:w="1199" w:type="pct"/>
            <w:tcBorders>
              <w:top w:val="single" w:sz="4" w:space="0" w:color="auto"/>
            </w:tcBorders>
            <w:vAlign w:val="center"/>
          </w:tcPr>
          <w:p w14:paraId="50069E0A" w14:textId="77777777" w:rsidR="00E754DD" w:rsidRDefault="00000000">
            <w:pPr>
              <w:spacing w:line="360" w:lineRule="auto"/>
              <w:jc w:val="center"/>
              <w:rPr>
                <w:rFonts w:ascii="宋体" w:eastAsia="宋体" w:hAnsi="宋体" w:cs="宋体"/>
                <w:szCs w:val="21"/>
              </w:rPr>
            </w:pPr>
            <w:r>
              <w:rPr>
                <w:rFonts w:ascii="宋体" w:hAnsi="宋体" w:cs="宋体" w:hint="eastAsia"/>
              </w:rPr>
              <w:t>PCOS组</w:t>
            </w:r>
          </w:p>
        </w:tc>
        <w:tc>
          <w:tcPr>
            <w:tcW w:w="568" w:type="pct"/>
            <w:tcBorders>
              <w:top w:val="single" w:sz="4" w:space="0" w:color="auto"/>
            </w:tcBorders>
            <w:vAlign w:val="center"/>
          </w:tcPr>
          <w:p w14:paraId="28E9CDB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50</w:t>
            </w:r>
          </w:p>
        </w:tc>
        <w:tc>
          <w:tcPr>
            <w:tcW w:w="3232" w:type="pct"/>
            <w:tcBorders>
              <w:top w:val="single" w:sz="4" w:space="0" w:color="auto"/>
            </w:tcBorders>
            <w:vAlign w:val="center"/>
          </w:tcPr>
          <w:p w14:paraId="2C857E0F" w14:textId="77777777" w:rsidR="00E754DD" w:rsidRDefault="00000000">
            <w:pPr>
              <w:spacing w:line="360" w:lineRule="auto"/>
              <w:jc w:val="center"/>
              <w:rPr>
                <w:rFonts w:ascii="宋体" w:eastAsia="宋体" w:hAnsi="宋体" w:cs="宋体"/>
                <w:szCs w:val="21"/>
              </w:rPr>
            </w:pPr>
            <w:r>
              <w:rPr>
                <w:rFonts w:ascii="宋体" w:eastAsia="宋体" w:hAnsi="宋体" w:cs="宋体" w:hint="eastAsia"/>
                <w:color w:val="000000" w:themeColor="text1"/>
                <w:szCs w:val="21"/>
              </w:rPr>
              <w:t>22～35（30.35±1.44）</w:t>
            </w:r>
          </w:p>
        </w:tc>
      </w:tr>
      <w:tr w:rsidR="00E754DD" w14:paraId="557CA869" w14:textId="77777777">
        <w:trPr>
          <w:jc w:val="center"/>
        </w:trPr>
        <w:tc>
          <w:tcPr>
            <w:tcW w:w="1199" w:type="pct"/>
            <w:vAlign w:val="center"/>
          </w:tcPr>
          <w:p w14:paraId="2FB3077E"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对照组</w:t>
            </w:r>
          </w:p>
        </w:tc>
        <w:tc>
          <w:tcPr>
            <w:tcW w:w="568" w:type="pct"/>
            <w:vAlign w:val="center"/>
          </w:tcPr>
          <w:p w14:paraId="02332799"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100</w:t>
            </w:r>
          </w:p>
        </w:tc>
        <w:tc>
          <w:tcPr>
            <w:tcW w:w="3232" w:type="pct"/>
            <w:vAlign w:val="center"/>
          </w:tcPr>
          <w:p w14:paraId="7F82BC3F" w14:textId="77777777" w:rsidR="00E754DD" w:rsidRDefault="00000000">
            <w:pPr>
              <w:spacing w:line="360" w:lineRule="auto"/>
              <w:jc w:val="center"/>
              <w:rPr>
                <w:rFonts w:ascii="宋体" w:eastAsia="宋体" w:hAnsi="宋体" w:cs="宋体"/>
                <w:color w:val="000000" w:themeColor="text1"/>
                <w:szCs w:val="21"/>
              </w:rPr>
            </w:pPr>
            <w:r>
              <w:rPr>
                <w:rFonts w:ascii="宋体" w:eastAsia="宋体" w:hAnsi="宋体" w:cs="宋体" w:hint="eastAsia"/>
                <w:color w:val="000000" w:themeColor="text1"/>
                <w:szCs w:val="21"/>
              </w:rPr>
              <w:t>23～36（30.83±1.82）</w:t>
            </w:r>
          </w:p>
        </w:tc>
      </w:tr>
    </w:tbl>
    <w:p w14:paraId="2A55A7BA" w14:textId="77777777" w:rsidR="00E754DD" w:rsidRDefault="00000000">
      <w:pPr>
        <w:numPr>
          <w:ilvl w:val="1"/>
          <w:numId w:val="1"/>
        </w:numPr>
        <w:spacing w:line="480" w:lineRule="auto"/>
        <w:rPr>
          <w:rFonts w:ascii="宋体" w:eastAsia="宋体" w:hAnsi="宋体" w:cs="宋体"/>
        </w:rPr>
      </w:pPr>
      <w:r>
        <w:rPr>
          <w:rFonts w:ascii="宋体" w:eastAsia="宋体" w:hAnsi="宋体" w:cs="宋体" w:hint="eastAsia"/>
          <w:color w:val="000000" w:themeColor="text1"/>
          <w:szCs w:val="21"/>
        </w:rPr>
        <w:t>方法</w:t>
      </w:r>
    </w:p>
    <w:p w14:paraId="33104D68" w14:textId="77777777" w:rsidR="00E754DD" w:rsidRDefault="00000000">
      <w:pPr>
        <w:spacing w:line="480" w:lineRule="auto"/>
        <w:ind w:firstLineChars="200" w:firstLine="420"/>
        <w:rPr>
          <w:rFonts w:ascii="宋体" w:eastAsia="宋体" w:hAnsi="宋体" w:cs="宋体"/>
        </w:rPr>
      </w:pPr>
      <w:r>
        <w:rPr>
          <w:rFonts w:ascii="宋体" w:eastAsia="宋体" w:hAnsi="宋体" w:cs="宋体" w:hint="eastAsia"/>
        </w:rPr>
        <w:t>医务人员采集所有实验人员4ml的空腹外周血静脉血，进行离心处理后，取血清采用化学发光免疫法检测、</w:t>
      </w:r>
      <w:proofErr w:type="spellStart"/>
      <w:r>
        <w:rPr>
          <w:rFonts w:ascii="宋体" w:eastAsia="宋体" w:hAnsi="宋体" w:cs="宋体" w:hint="eastAsia"/>
        </w:rPr>
        <w:t>Hcy</w:t>
      </w:r>
      <w:proofErr w:type="spellEnd"/>
      <w:r>
        <w:rPr>
          <w:rFonts w:ascii="宋体" w:eastAsia="宋体" w:hAnsi="宋体" w:cs="宋体" w:hint="eastAsia"/>
        </w:rPr>
        <w:t>水平经速率法检测，并且在10个月后单独采取经治疗后的PCOS不孕患者空腹血液进行检测。</w:t>
      </w:r>
    </w:p>
    <w:p w14:paraId="13766986" w14:textId="77777777" w:rsidR="00E754DD" w:rsidRDefault="00000000">
      <w:pPr>
        <w:numPr>
          <w:ilvl w:val="1"/>
          <w:numId w:val="1"/>
        </w:numPr>
        <w:spacing w:line="480" w:lineRule="auto"/>
        <w:rPr>
          <w:rFonts w:ascii="宋体" w:eastAsia="宋体" w:hAnsi="宋体" w:cs="宋体"/>
        </w:rPr>
      </w:pPr>
      <w:r>
        <w:rPr>
          <w:rFonts w:ascii="宋体" w:eastAsia="宋体" w:hAnsi="宋体" w:cs="宋体" w:hint="eastAsia"/>
          <w:color w:val="000000" w:themeColor="text1"/>
          <w:szCs w:val="21"/>
        </w:rPr>
        <w:t>观察指标</w:t>
      </w:r>
    </w:p>
    <w:p w14:paraId="40BAEBE2" w14:textId="77777777" w:rsidR="00E754DD" w:rsidRDefault="00000000">
      <w:pPr>
        <w:numPr>
          <w:ilvl w:val="0"/>
          <w:numId w:val="2"/>
        </w:numPr>
        <w:spacing w:line="480" w:lineRule="auto"/>
        <w:ind w:firstLineChars="200" w:firstLine="420"/>
        <w:rPr>
          <w:rFonts w:ascii="宋体" w:eastAsia="宋体" w:hAnsi="宋体" w:cs="宋体"/>
        </w:rPr>
      </w:pPr>
      <w:r>
        <w:rPr>
          <w:rFonts w:ascii="宋体" w:eastAsia="宋体" w:hAnsi="宋体" w:cs="宋体" w:hint="eastAsia"/>
        </w:rPr>
        <w:t>分析两组的血清AMH、</w:t>
      </w:r>
      <w:proofErr w:type="spellStart"/>
      <w:r>
        <w:rPr>
          <w:rFonts w:ascii="宋体" w:eastAsia="宋体" w:hAnsi="宋体" w:cs="宋体" w:hint="eastAsia"/>
        </w:rPr>
        <w:t>Hcy</w:t>
      </w:r>
      <w:proofErr w:type="spellEnd"/>
      <w:r>
        <w:rPr>
          <w:rFonts w:ascii="宋体" w:eastAsia="宋体" w:hAnsi="宋体" w:cs="宋体" w:hint="eastAsia"/>
        </w:rPr>
        <w:t>水平。</w:t>
      </w:r>
    </w:p>
    <w:p w14:paraId="5DF80B66" w14:textId="77777777" w:rsidR="00E754DD" w:rsidRDefault="00000000">
      <w:pPr>
        <w:numPr>
          <w:ilvl w:val="0"/>
          <w:numId w:val="2"/>
        </w:numPr>
        <w:spacing w:line="480" w:lineRule="auto"/>
        <w:ind w:firstLineChars="200" w:firstLine="420"/>
        <w:rPr>
          <w:rFonts w:ascii="宋体" w:eastAsia="宋体" w:hAnsi="宋体" w:cs="宋体"/>
        </w:rPr>
      </w:pPr>
      <w:r>
        <w:rPr>
          <w:rFonts w:ascii="宋体" w:eastAsia="宋体" w:hAnsi="宋体" w:cs="宋体" w:hint="eastAsia"/>
        </w:rPr>
        <w:t>血清AMH、</w:t>
      </w:r>
      <w:proofErr w:type="spellStart"/>
      <w:r>
        <w:rPr>
          <w:rFonts w:ascii="宋体" w:eastAsia="宋体" w:hAnsi="宋体" w:cs="宋体" w:hint="eastAsia"/>
        </w:rPr>
        <w:t>Hcy</w:t>
      </w:r>
      <w:proofErr w:type="spellEnd"/>
      <w:r>
        <w:rPr>
          <w:rFonts w:ascii="宋体" w:eastAsia="宋体" w:hAnsi="宋体" w:cs="宋体" w:hint="eastAsia"/>
        </w:rPr>
        <w:t>水平</w:t>
      </w:r>
      <w:r>
        <w:rPr>
          <w:rFonts w:ascii="宋体" w:hAnsi="宋体" w:cs="宋体" w:hint="eastAsia"/>
        </w:rPr>
        <w:t>诊断PCOS结果。</w:t>
      </w:r>
    </w:p>
    <w:p w14:paraId="0FDA4124" w14:textId="77777777" w:rsidR="00E754DD" w:rsidRDefault="00000000">
      <w:pPr>
        <w:numPr>
          <w:ilvl w:val="0"/>
          <w:numId w:val="2"/>
        </w:numPr>
        <w:spacing w:line="480" w:lineRule="auto"/>
        <w:ind w:firstLineChars="200" w:firstLine="420"/>
        <w:rPr>
          <w:rFonts w:ascii="宋体" w:eastAsia="宋体" w:hAnsi="宋体" w:cs="宋体"/>
        </w:rPr>
      </w:pPr>
      <w:r>
        <w:rPr>
          <w:rFonts w:ascii="宋体" w:eastAsia="宋体" w:hAnsi="宋体" w:cs="宋体" w:hint="eastAsia"/>
        </w:rPr>
        <w:t>血清AMH、</w:t>
      </w:r>
      <w:proofErr w:type="spellStart"/>
      <w:r>
        <w:rPr>
          <w:rFonts w:ascii="宋体" w:eastAsia="宋体" w:hAnsi="宋体" w:cs="宋体" w:hint="eastAsia"/>
        </w:rPr>
        <w:t>Hcy</w:t>
      </w:r>
      <w:proofErr w:type="spellEnd"/>
      <w:r>
        <w:rPr>
          <w:rFonts w:ascii="宋体" w:eastAsia="宋体" w:hAnsi="宋体" w:cs="宋体" w:hint="eastAsia"/>
        </w:rPr>
        <w:t>水平诊断PCOS价值</w:t>
      </w:r>
    </w:p>
    <w:p w14:paraId="4301C9EF" w14:textId="77777777" w:rsidR="00E754DD" w:rsidRDefault="00000000">
      <w:pPr>
        <w:numPr>
          <w:ilvl w:val="0"/>
          <w:numId w:val="2"/>
        </w:numPr>
        <w:spacing w:line="480" w:lineRule="auto"/>
        <w:ind w:firstLineChars="200" w:firstLine="420"/>
        <w:rPr>
          <w:rFonts w:ascii="宋体" w:eastAsia="宋体" w:hAnsi="宋体" w:cs="宋体"/>
        </w:rPr>
      </w:pPr>
      <w:r>
        <w:rPr>
          <w:rFonts w:ascii="宋体" w:eastAsia="宋体" w:hAnsi="宋体" w:cs="宋体" w:hint="eastAsia"/>
        </w:rPr>
        <w:t>PCOS不孕患者血清AMH、</w:t>
      </w:r>
      <w:proofErr w:type="spellStart"/>
      <w:r>
        <w:rPr>
          <w:rFonts w:ascii="宋体" w:eastAsia="宋体" w:hAnsi="宋体" w:cs="宋体" w:hint="eastAsia"/>
        </w:rPr>
        <w:t>Hcy</w:t>
      </w:r>
      <w:proofErr w:type="spellEnd"/>
      <w:r>
        <w:rPr>
          <w:rFonts w:ascii="宋体" w:eastAsia="宋体" w:hAnsi="宋体" w:cs="宋体" w:hint="eastAsia"/>
        </w:rPr>
        <w:t>水平与治疗后关系。</w:t>
      </w:r>
    </w:p>
    <w:p w14:paraId="36ACB715" w14:textId="77777777" w:rsidR="00E754DD" w:rsidRDefault="00000000">
      <w:pPr>
        <w:numPr>
          <w:ilvl w:val="1"/>
          <w:numId w:val="1"/>
        </w:numPr>
        <w:spacing w:line="480" w:lineRule="auto"/>
        <w:rPr>
          <w:rFonts w:ascii="宋体" w:eastAsia="宋体" w:hAnsi="宋体" w:cs="宋体"/>
          <w:color w:val="000000" w:themeColor="text1"/>
          <w:szCs w:val="21"/>
        </w:rPr>
      </w:pPr>
      <w:r>
        <w:rPr>
          <w:rFonts w:ascii="宋体" w:eastAsia="宋体" w:hAnsi="宋体" w:cs="宋体" w:hint="eastAsia"/>
          <w:color w:val="000000" w:themeColor="text1"/>
          <w:szCs w:val="21"/>
        </w:rPr>
        <w:t>统计学分析</w:t>
      </w:r>
    </w:p>
    <w:p w14:paraId="1AF871A1" w14:textId="77777777" w:rsidR="00E754DD" w:rsidRDefault="00000000">
      <w:pPr>
        <w:spacing w:line="480" w:lineRule="auto"/>
        <w:ind w:firstLineChars="200" w:firstLine="420"/>
        <w:rPr>
          <w:rFonts w:ascii="宋体" w:eastAsia="宋体" w:hAnsi="宋体" w:cs="宋体"/>
          <w:szCs w:val="21"/>
        </w:rPr>
      </w:pPr>
      <w:r>
        <w:rPr>
          <w:rFonts w:ascii="宋体" w:eastAsia="宋体" w:hAnsi="宋体" w:cs="宋体" w:hint="eastAsia"/>
          <w:szCs w:val="21"/>
        </w:rPr>
        <w:t>数据利用软件SPSS25.0处理，P＜0.05有差异，存在统计学意义。</w:t>
      </w:r>
    </w:p>
    <w:p w14:paraId="482BEE87" w14:textId="77777777" w:rsidR="00E754DD" w:rsidRDefault="00000000">
      <w:pPr>
        <w:widowControl/>
        <w:spacing w:line="480" w:lineRule="auto"/>
        <w:jc w:val="left"/>
        <w:rPr>
          <w:rFonts w:ascii="宋体" w:eastAsia="宋体" w:hAnsi="宋体" w:cs="宋体"/>
          <w:szCs w:val="21"/>
        </w:rPr>
      </w:pPr>
      <w:r>
        <w:rPr>
          <w:rFonts w:ascii="宋体" w:eastAsia="宋体" w:hAnsi="宋体" w:cs="宋体" w:hint="eastAsia"/>
          <w:b/>
          <w:bCs/>
          <w:color w:val="000000" w:themeColor="text1"/>
          <w:szCs w:val="21"/>
        </w:rPr>
        <w:t>2结果</w:t>
      </w:r>
      <w:bookmarkStart w:id="0" w:name="_Hlk119426956"/>
    </w:p>
    <w:bookmarkEnd w:id="0"/>
    <w:p w14:paraId="586A7DFE" w14:textId="77777777" w:rsidR="00E754DD" w:rsidRDefault="00000000">
      <w:pPr>
        <w:widowControl/>
        <w:spacing w:line="480" w:lineRule="auto"/>
        <w:rPr>
          <w:rFonts w:ascii="宋体" w:eastAsia="宋体" w:hAnsi="宋体" w:cs="宋体"/>
        </w:rPr>
      </w:pPr>
      <w:r>
        <w:rPr>
          <w:rFonts w:ascii="宋体" w:eastAsia="宋体" w:hAnsi="宋体" w:cs="宋体" w:hint="eastAsia"/>
        </w:rPr>
        <w:t>2.1血清AMH、</w:t>
      </w:r>
      <w:proofErr w:type="spellStart"/>
      <w:r>
        <w:rPr>
          <w:rFonts w:ascii="宋体" w:eastAsia="宋体" w:hAnsi="宋体" w:cs="宋体" w:hint="eastAsia"/>
        </w:rPr>
        <w:t>Hcy</w:t>
      </w:r>
      <w:proofErr w:type="spellEnd"/>
      <w:r>
        <w:rPr>
          <w:rFonts w:ascii="宋体" w:eastAsia="宋体" w:hAnsi="宋体" w:cs="宋体" w:hint="eastAsia"/>
        </w:rPr>
        <w:t>水平</w:t>
      </w:r>
    </w:p>
    <w:p w14:paraId="08706805" w14:textId="77777777" w:rsidR="00E754DD" w:rsidRDefault="00000000">
      <w:pPr>
        <w:widowControl/>
        <w:spacing w:line="480" w:lineRule="auto"/>
        <w:ind w:firstLineChars="200" w:firstLine="420"/>
        <w:rPr>
          <w:rFonts w:ascii="宋体" w:eastAsia="宋体" w:hAnsi="宋体" w:cs="宋体"/>
        </w:rPr>
      </w:pPr>
      <w:r>
        <w:rPr>
          <w:rFonts w:ascii="宋体" w:hAnsi="宋体" w:cs="宋体" w:hint="eastAsia"/>
        </w:rPr>
        <w:t>两组患者的</w:t>
      </w:r>
      <w:r>
        <w:rPr>
          <w:rFonts w:ascii="宋体" w:eastAsia="宋体" w:hAnsi="宋体" w:cs="宋体" w:hint="eastAsia"/>
        </w:rPr>
        <w:t>血清AMH、</w:t>
      </w:r>
      <w:proofErr w:type="spellStart"/>
      <w:r>
        <w:rPr>
          <w:rFonts w:ascii="宋体" w:eastAsia="宋体" w:hAnsi="宋体" w:cs="宋体" w:hint="eastAsia"/>
        </w:rPr>
        <w:t>Hcy</w:t>
      </w:r>
      <w:proofErr w:type="spellEnd"/>
      <w:r>
        <w:rPr>
          <w:rFonts w:ascii="宋体" w:eastAsia="宋体" w:hAnsi="宋体" w:cs="宋体" w:hint="eastAsia"/>
        </w:rPr>
        <w:t>水平具有较大差异，P＜0.05</w:t>
      </w:r>
      <w:r>
        <w:rPr>
          <w:rFonts w:ascii="宋体" w:eastAsia="宋体" w:hAnsi="宋体" w:cs="宋体" w:hint="eastAsia"/>
          <w:szCs w:val="21"/>
        </w:rPr>
        <w:t>，</w:t>
      </w:r>
      <w:r>
        <w:rPr>
          <w:rFonts w:ascii="宋体" w:eastAsia="宋体" w:hAnsi="宋体" w:cs="宋体" w:hint="eastAsia"/>
        </w:rPr>
        <w:t>见表2。</w:t>
      </w:r>
    </w:p>
    <w:p w14:paraId="5B534D20" w14:textId="77777777" w:rsidR="00E754DD" w:rsidRDefault="00000000">
      <w:pPr>
        <w:pStyle w:val="a3"/>
        <w:spacing w:line="480" w:lineRule="auto"/>
        <w:ind w:firstLineChars="0" w:firstLine="0"/>
        <w:jc w:val="center"/>
        <w:rPr>
          <w:rFonts w:ascii="宋体" w:hAnsi="宋体" w:cs="宋体"/>
          <w:szCs w:val="21"/>
        </w:rPr>
      </w:pPr>
      <w:r>
        <w:rPr>
          <w:rFonts w:ascii="宋体" w:hAnsi="宋体" w:cs="宋体" w:hint="eastAsia"/>
          <w:szCs w:val="21"/>
        </w:rPr>
        <w:t>表2</w:t>
      </w:r>
      <w:r>
        <w:rPr>
          <w:rFonts w:ascii="宋体" w:hAnsi="宋体" w:cs="宋体" w:hint="eastAsia"/>
        </w:rPr>
        <w:t>血清AMH、</w:t>
      </w:r>
      <w:proofErr w:type="spellStart"/>
      <w:r>
        <w:rPr>
          <w:rFonts w:ascii="宋体" w:hAnsi="宋体" w:cs="宋体" w:hint="eastAsia"/>
        </w:rPr>
        <w:t>Hcy</w:t>
      </w:r>
      <w:proofErr w:type="spellEnd"/>
      <w:r>
        <w:rPr>
          <w:rFonts w:ascii="宋体" w:hAnsi="宋体" w:cs="宋体" w:hint="eastAsia"/>
        </w:rPr>
        <w:t>水平</w:t>
      </w:r>
      <w:r>
        <w:rPr>
          <w:rFonts w:ascii="宋体" w:hAnsi="宋体" w:cs="宋体" w:hint="eastAsia"/>
          <w:szCs w:val="21"/>
        </w:rPr>
        <w:t>（</w:t>
      </w:r>
      <w:r>
        <w:rPr>
          <w:rFonts w:ascii="宋体" w:hAnsi="宋体" w:cs="宋体" w:hint="eastAsia"/>
          <w:szCs w:val="21"/>
        </w:rPr>
        <w:sym w:font="Symbol" w:char="0060"/>
      </w:r>
      <w:r>
        <w:rPr>
          <w:rFonts w:ascii="宋体" w:hAnsi="宋体" w:cs="宋体" w:hint="eastAsia"/>
          <w:szCs w:val="21"/>
        </w:rPr>
        <w:t>x±s）</w:t>
      </w:r>
    </w:p>
    <w:tbl>
      <w:tblPr>
        <w:tblStyle w:val="a4"/>
        <w:tblW w:w="4998"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4"/>
        <w:gridCol w:w="531"/>
        <w:gridCol w:w="2731"/>
        <w:gridCol w:w="2973"/>
      </w:tblGrid>
      <w:tr w:rsidR="00E754DD" w14:paraId="3001212C" w14:textId="77777777">
        <w:tc>
          <w:tcPr>
            <w:tcW w:w="1350" w:type="pct"/>
            <w:tcBorders>
              <w:bottom w:val="single" w:sz="4" w:space="0" w:color="auto"/>
            </w:tcBorders>
            <w:vAlign w:val="center"/>
          </w:tcPr>
          <w:p w14:paraId="25C29F24"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lastRenderedPageBreak/>
              <w:t>组别</w:t>
            </w:r>
          </w:p>
        </w:tc>
        <w:tc>
          <w:tcPr>
            <w:tcW w:w="282" w:type="pct"/>
            <w:tcBorders>
              <w:bottom w:val="single" w:sz="4" w:space="0" w:color="auto"/>
            </w:tcBorders>
            <w:vAlign w:val="center"/>
          </w:tcPr>
          <w:p w14:paraId="365FEBBD"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n</w:t>
            </w:r>
          </w:p>
        </w:tc>
        <w:tc>
          <w:tcPr>
            <w:tcW w:w="1612" w:type="pct"/>
            <w:tcBorders>
              <w:bottom w:val="single" w:sz="4" w:space="0" w:color="auto"/>
            </w:tcBorders>
            <w:shd w:val="clear" w:color="auto" w:fill="auto"/>
            <w:vAlign w:val="center"/>
          </w:tcPr>
          <w:p w14:paraId="18E38C53" w14:textId="77777777" w:rsidR="00E754DD" w:rsidRDefault="00000000">
            <w:pPr>
              <w:spacing w:line="360" w:lineRule="auto"/>
              <w:jc w:val="center"/>
              <w:rPr>
                <w:rFonts w:ascii="宋体" w:eastAsia="宋体" w:hAnsi="宋体" w:cs="宋体"/>
                <w:szCs w:val="21"/>
              </w:rPr>
            </w:pPr>
            <w:r>
              <w:rPr>
                <w:rFonts w:ascii="宋体" w:hAnsi="宋体" w:cs="宋体" w:hint="eastAsia"/>
              </w:rPr>
              <w:t>血清AMH水平（ng/mL）</w:t>
            </w:r>
          </w:p>
        </w:tc>
        <w:tc>
          <w:tcPr>
            <w:tcW w:w="1754" w:type="pct"/>
            <w:tcBorders>
              <w:bottom w:val="single" w:sz="4" w:space="0" w:color="auto"/>
            </w:tcBorders>
            <w:vAlign w:val="center"/>
          </w:tcPr>
          <w:p w14:paraId="6C8B1DBF" w14:textId="77777777" w:rsidR="00E754DD" w:rsidRDefault="00000000">
            <w:pPr>
              <w:spacing w:line="360" w:lineRule="auto"/>
              <w:jc w:val="center"/>
              <w:rPr>
                <w:rFonts w:ascii="宋体" w:eastAsia="宋体" w:hAnsi="宋体" w:cs="宋体"/>
                <w:szCs w:val="21"/>
              </w:rPr>
            </w:pPr>
            <w:r>
              <w:rPr>
                <w:rFonts w:ascii="宋体" w:hAnsi="宋体" w:cs="宋体" w:hint="eastAsia"/>
              </w:rPr>
              <w:t>血清</w:t>
            </w:r>
            <w:proofErr w:type="spellStart"/>
            <w:r>
              <w:rPr>
                <w:rFonts w:ascii="宋体" w:hAnsi="宋体" w:cs="宋体" w:hint="eastAsia"/>
              </w:rPr>
              <w:t>Hcy</w:t>
            </w:r>
            <w:proofErr w:type="spellEnd"/>
            <w:r>
              <w:rPr>
                <w:rFonts w:ascii="宋体" w:hAnsi="宋体" w:cs="宋体" w:hint="eastAsia"/>
              </w:rPr>
              <w:t>水平（μmol/L）</w:t>
            </w:r>
          </w:p>
        </w:tc>
      </w:tr>
      <w:tr w:rsidR="00E754DD" w14:paraId="16566D02" w14:textId="77777777">
        <w:tc>
          <w:tcPr>
            <w:tcW w:w="1350" w:type="pct"/>
            <w:tcBorders>
              <w:top w:val="single" w:sz="4" w:space="0" w:color="auto"/>
            </w:tcBorders>
            <w:vAlign w:val="center"/>
          </w:tcPr>
          <w:p w14:paraId="36626755" w14:textId="77777777" w:rsidR="00E754DD" w:rsidRDefault="00000000">
            <w:pPr>
              <w:spacing w:line="360" w:lineRule="auto"/>
              <w:jc w:val="center"/>
              <w:rPr>
                <w:rFonts w:ascii="宋体" w:eastAsia="宋体" w:hAnsi="宋体" w:cs="宋体"/>
                <w:szCs w:val="21"/>
              </w:rPr>
            </w:pPr>
            <w:r>
              <w:rPr>
                <w:rFonts w:ascii="宋体" w:hAnsi="宋体" w:cs="宋体" w:hint="eastAsia"/>
              </w:rPr>
              <w:t>PCOS组</w:t>
            </w:r>
          </w:p>
        </w:tc>
        <w:tc>
          <w:tcPr>
            <w:tcW w:w="282" w:type="pct"/>
            <w:tcBorders>
              <w:top w:val="single" w:sz="4" w:space="0" w:color="auto"/>
            </w:tcBorders>
            <w:vAlign w:val="center"/>
          </w:tcPr>
          <w:p w14:paraId="7822F341"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50</w:t>
            </w:r>
          </w:p>
        </w:tc>
        <w:tc>
          <w:tcPr>
            <w:tcW w:w="1612" w:type="pct"/>
            <w:tcBorders>
              <w:top w:val="single" w:sz="4" w:space="0" w:color="auto"/>
            </w:tcBorders>
            <w:shd w:val="clear" w:color="auto" w:fill="auto"/>
            <w:vAlign w:val="center"/>
          </w:tcPr>
          <w:p w14:paraId="6FDAFA79"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13.57±1.68</w:t>
            </w:r>
          </w:p>
        </w:tc>
        <w:tc>
          <w:tcPr>
            <w:tcW w:w="1754" w:type="pct"/>
            <w:tcBorders>
              <w:top w:val="single" w:sz="4" w:space="0" w:color="auto"/>
            </w:tcBorders>
            <w:vAlign w:val="center"/>
          </w:tcPr>
          <w:p w14:paraId="3EC7E985"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12.28±1.78</w:t>
            </w:r>
          </w:p>
        </w:tc>
      </w:tr>
      <w:tr w:rsidR="00E754DD" w14:paraId="4BEBDD39" w14:textId="77777777">
        <w:tc>
          <w:tcPr>
            <w:tcW w:w="1350" w:type="pct"/>
            <w:vAlign w:val="center"/>
          </w:tcPr>
          <w:p w14:paraId="0CA0A977"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对照组</w:t>
            </w:r>
          </w:p>
        </w:tc>
        <w:tc>
          <w:tcPr>
            <w:tcW w:w="282" w:type="pct"/>
            <w:vAlign w:val="center"/>
          </w:tcPr>
          <w:p w14:paraId="0A91F581"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100</w:t>
            </w:r>
          </w:p>
        </w:tc>
        <w:tc>
          <w:tcPr>
            <w:tcW w:w="1612" w:type="pct"/>
            <w:shd w:val="clear" w:color="auto" w:fill="auto"/>
            <w:vAlign w:val="center"/>
          </w:tcPr>
          <w:p w14:paraId="1C83FCFA"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6.17±1.24</w:t>
            </w:r>
          </w:p>
        </w:tc>
        <w:tc>
          <w:tcPr>
            <w:tcW w:w="1754" w:type="pct"/>
            <w:vAlign w:val="center"/>
          </w:tcPr>
          <w:p w14:paraId="0E8CD59F"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9.35±0.98</w:t>
            </w:r>
          </w:p>
        </w:tc>
      </w:tr>
      <w:tr w:rsidR="00E754DD" w14:paraId="290C563C" w14:textId="77777777">
        <w:tc>
          <w:tcPr>
            <w:tcW w:w="1350" w:type="pct"/>
            <w:vAlign w:val="center"/>
          </w:tcPr>
          <w:p w14:paraId="3292B0D8"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t值</w:t>
            </w:r>
          </w:p>
        </w:tc>
        <w:tc>
          <w:tcPr>
            <w:tcW w:w="282" w:type="pct"/>
            <w:vAlign w:val="center"/>
          </w:tcPr>
          <w:p w14:paraId="40971FD7"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w:t>
            </w:r>
          </w:p>
        </w:tc>
        <w:tc>
          <w:tcPr>
            <w:tcW w:w="1612" w:type="pct"/>
            <w:shd w:val="clear" w:color="auto" w:fill="auto"/>
            <w:vAlign w:val="center"/>
          </w:tcPr>
          <w:p w14:paraId="00AD5EFD"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27.612</w:t>
            </w:r>
          </w:p>
        </w:tc>
        <w:tc>
          <w:tcPr>
            <w:tcW w:w="1754" w:type="pct"/>
            <w:vAlign w:val="center"/>
          </w:tcPr>
          <w:p w14:paraId="1621C842"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10.847</w:t>
            </w:r>
          </w:p>
        </w:tc>
      </w:tr>
      <w:tr w:rsidR="00E754DD" w14:paraId="1B27AF1E" w14:textId="77777777">
        <w:tc>
          <w:tcPr>
            <w:tcW w:w="1350" w:type="pct"/>
            <w:vAlign w:val="center"/>
          </w:tcPr>
          <w:p w14:paraId="5954FAFF"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P值</w:t>
            </w:r>
          </w:p>
        </w:tc>
        <w:tc>
          <w:tcPr>
            <w:tcW w:w="282" w:type="pct"/>
            <w:vAlign w:val="center"/>
          </w:tcPr>
          <w:p w14:paraId="2C2DFDDD"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w:t>
            </w:r>
          </w:p>
        </w:tc>
        <w:tc>
          <w:tcPr>
            <w:tcW w:w="1612" w:type="pct"/>
            <w:shd w:val="clear" w:color="auto" w:fill="auto"/>
            <w:vAlign w:val="center"/>
          </w:tcPr>
          <w:p w14:paraId="7B70D4C2"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0.000</w:t>
            </w:r>
          </w:p>
        </w:tc>
        <w:tc>
          <w:tcPr>
            <w:tcW w:w="1754" w:type="pct"/>
            <w:vAlign w:val="center"/>
          </w:tcPr>
          <w:p w14:paraId="329F0FA3"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0.000</w:t>
            </w:r>
          </w:p>
        </w:tc>
      </w:tr>
    </w:tbl>
    <w:p w14:paraId="5C75CFA3" w14:textId="77777777" w:rsidR="00E754DD" w:rsidRDefault="00000000">
      <w:pPr>
        <w:pStyle w:val="a3"/>
        <w:spacing w:line="480" w:lineRule="auto"/>
        <w:ind w:firstLineChars="0" w:firstLine="0"/>
        <w:rPr>
          <w:rFonts w:ascii="宋体" w:hAnsi="宋体" w:cs="宋体"/>
          <w:szCs w:val="21"/>
        </w:rPr>
      </w:pPr>
      <w:r>
        <w:rPr>
          <w:rFonts w:ascii="宋体" w:hAnsi="宋体" w:cs="宋体" w:hint="eastAsia"/>
          <w:szCs w:val="21"/>
        </w:rPr>
        <w:t>2.2</w:t>
      </w:r>
      <w:r>
        <w:rPr>
          <w:rFonts w:ascii="宋体" w:hAnsi="宋体" w:cs="宋体" w:hint="eastAsia"/>
        </w:rPr>
        <w:t>血清AMH、</w:t>
      </w:r>
      <w:proofErr w:type="spellStart"/>
      <w:r>
        <w:rPr>
          <w:rFonts w:ascii="宋体" w:hAnsi="宋体" w:cs="宋体" w:hint="eastAsia"/>
        </w:rPr>
        <w:t>Hcy</w:t>
      </w:r>
      <w:proofErr w:type="spellEnd"/>
      <w:r>
        <w:rPr>
          <w:rFonts w:ascii="宋体" w:hAnsi="宋体" w:cs="宋体" w:hint="eastAsia"/>
        </w:rPr>
        <w:t>水平诊断PCOS结果</w:t>
      </w:r>
    </w:p>
    <w:p w14:paraId="2EAB93D5" w14:textId="77777777" w:rsidR="00E754DD" w:rsidRDefault="00000000">
      <w:pPr>
        <w:widowControl/>
        <w:spacing w:line="480" w:lineRule="auto"/>
        <w:ind w:firstLineChars="200" w:firstLine="420"/>
        <w:jc w:val="left"/>
        <w:rPr>
          <w:rFonts w:ascii="宋体" w:hAnsi="宋体" w:cs="宋体"/>
          <w:szCs w:val="21"/>
        </w:rPr>
      </w:pPr>
      <w:r>
        <w:rPr>
          <w:rFonts w:ascii="宋体" w:eastAsia="宋体" w:hAnsi="宋体" w:cs="宋体" w:hint="eastAsia"/>
        </w:rPr>
        <w:t>血清AMH水平阳性者37例、阴性者113例，血清</w:t>
      </w:r>
      <w:proofErr w:type="spellStart"/>
      <w:r>
        <w:rPr>
          <w:rFonts w:ascii="宋体" w:eastAsia="宋体" w:hAnsi="宋体" w:cs="宋体" w:hint="eastAsia"/>
        </w:rPr>
        <w:t>Hcy</w:t>
      </w:r>
      <w:proofErr w:type="spellEnd"/>
      <w:r>
        <w:rPr>
          <w:rFonts w:ascii="宋体" w:eastAsia="宋体" w:hAnsi="宋体" w:cs="宋体" w:hint="eastAsia"/>
        </w:rPr>
        <w:t>水平阳性者41例、阴性者109例，联合诊断阳性者50例、阴性者100例</w:t>
      </w:r>
      <w:r>
        <w:rPr>
          <w:rFonts w:ascii="宋体" w:eastAsia="宋体" w:hAnsi="宋体" w:cs="宋体" w:hint="eastAsia"/>
          <w:szCs w:val="21"/>
        </w:rPr>
        <w:t>，详见表3。</w:t>
      </w:r>
    </w:p>
    <w:p w14:paraId="07531046" w14:textId="77777777" w:rsidR="00E754DD" w:rsidRDefault="00000000">
      <w:pPr>
        <w:widowControl/>
        <w:spacing w:line="480" w:lineRule="auto"/>
        <w:ind w:firstLineChars="200" w:firstLine="420"/>
        <w:jc w:val="center"/>
      </w:pPr>
      <w:r>
        <w:rPr>
          <w:rFonts w:ascii="宋体" w:hAnsi="宋体" w:cs="宋体" w:hint="eastAsia"/>
          <w:szCs w:val="21"/>
        </w:rPr>
        <w:t>表3</w:t>
      </w:r>
      <w:r>
        <w:rPr>
          <w:rFonts w:ascii="宋体" w:eastAsia="宋体" w:hAnsi="宋体" w:cs="宋体" w:hint="eastAsia"/>
        </w:rPr>
        <w:t>血清AMH、</w:t>
      </w:r>
      <w:proofErr w:type="spellStart"/>
      <w:r>
        <w:rPr>
          <w:rFonts w:ascii="宋体" w:eastAsia="宋体" w:hAnsi="宋体" w:cs="宋体" w:hint="eastAsia"/>
        </w:rPr>
        <w:t>Hcy</w:t>
      </w:r>
      <w:proofErr w:type="spellEnd"/>
      <w:r>
        <w:rPr>
          <w:rFonts w:ascii="宋体" w:eastAsia="宋体" w:hAnsi="宋体" w:cs="宋体" w:hint="eastAsia"/>
        </w:rPr>
        <w:t>水平</w:t>
      </w:r>
      <w:r>
        <w:rPr>
          <w:rFonts w:ascii="宋体" w:hAnsi="宋体" w:cs="宋体" w:hint="eastAsia"/>
        </w:rPr>
        <w:t>诊断PCOS结果</w:t>
      </w:r>
    </w:p>
    <w:tbl>
      <w:tblPr>
        <w:tblStyle w:val="a4"/>
        <w:tblW w:w="5000" w:type="pct"/>
        <w:tblLook w:val="04A0" w:firstRow="1" w:lastRow="0" w:firstColumn="1" w:lastColumn="0" w:noHBand="0" w:noVBand="1"/>
      </w:tblPr>
      <w:tblGrid>
        <w:gridCol w:w="1174"/>
        <w:gridCol w:w="569"/>
        <w:gridCol w:w="604"/>
        <w:gridCol w:w="602"/>
        <w:gridCol w:w="1173"/>
        <w:gridCol w:w="568"/>
        <w:gridCol w:w="603"/>
        <w:gridCol w:w="602"/>
        <w:gridCol w:w="854"/>
        <w:gridCol w:w="568"/>
        <w:gridCol w:w="603"/>
        <w:gridCol w:w="602"/>
      </w:tblGrid>
      <w:tr w:rsidR="00E754DD" w14:paraId="3A99E2F3" w14:textId="77777777">
        <w:trPr>
          <w:trHeight w:val="90"/>
        </w:trPr>
        <w:tc>
          <w:tcPr>
            <w:tcW w:w="688" w:type="pct"/>
            <w:vMerge w:val="restart"/>
            <w:tcBorders>
              <w:left w:val="nil"/>
              <w:right w:val="nil"/>
            </w:tcBorders>
            <w:vAlign w:val="center"/>
          </w:tcPr>
          <w:p w14:paraId="18A40242" w14:textId="77777777" w:rsidR="00E754DD" w:rsidRDefault="00000000">
            <w:pPr>
              <w:spacing w:line="360" w:lineRule="auto"/>
              <w:jc w:val="center"/>
              <w:rPr>
                <w:rFonts w:ascii="宋体" w:eastAsia="宋体" w:hAnsi="宋体" w:cs="宋体"/>
                <w:szCs w:val="21"/>
              </w:rPr>
            </w:pPr>
            <w:r>
              <w:rPr>
                <w:rFonts w:ascii="宋体" w:eastAsia="宋体" w:hAnsi="宋体" w:cs="宋体" w:hint="eastAsia"/>
              </w:rPr>
              <w:t>血清AMH水平</w:t>
            </w:r>
          </w:p>
        </w:tc>
        <w:tc>
          <w:tcPr>
            <w:tcW w:w="687" w:type="pct"/>
            <w:gridSpan w:val="2"/>
            <w:tcBorders>
              <w:left w:val="nil"/>
              <w:right w:val="nil"/>
            </w:tcBorders>
            <w:vAlign w:val="center"/>
          </w:tcPr>
          <w:p w14:paraId="66F753A0" w14:textId="77777777" w:rsidR="00E754DD" w:rsidRDefault="00000000">
            <w:pPr>
              <w:spacing w:line="360" w:lineRule="auto"/>
              <w:jc w:val="center"/>
              <w:rPr>
                <w:rFonts w:ascii="宋体" w:eastAsia="宋体" w:hAnsi="宋体" w:cs="宋体"/>
                <w:szCs w:val="21"/>
              </w:rPr>
            </w:pPr>
            <w:r>
              <w:rPr>
                <w:rFonts w:ascii="宋体" w:hAnsi="宋体" w:hint="eastAsia"/>
              </w:rPr>
              <w:t>病理诊断</w:t>
            </w:r>
          </w:p>
        </w:tc>
        <w:tc>
          <w:tcPr>
            <w:tcW w:w="353" w:type="pct"/>
            <w:vMerge w:val="restart"/>
            <w:tcBorders>
              <w:left w:val="nil"/>
              <w:right w:val="nil"/>
            </w:tcBorders>
            <w:vAlign w:val="center"/>
          </w:tcPr>
          <w:p w14:paraId="394FFD10" w14:textId="77777777" w:rsidR="00E754DD" w:rsidRDefault="00000000">
            <w:pPr>
              <w:spacing w:line="360" w:lineRule="auto"/>
              <w:jc w:val="center"/>
              <w:rPr>
                <w:rFonts w:ascii="宋体" w:hAnsi="宋体"/>
              </w:rPr>
            </w:pPr>
            <w:bookmarkStart w:id="1" w:name="_Hlk114687644"/>
            <w:r>
              <w:rPr>
                <w:rFonts w:ascii="宋体" w:hAnsi="宋体" w:hint="eastAsia"/>
              </w:rPr>
              <w:t>合计</w:t>
            </w:r>
          </w:p>
        </w:tc>
        <w:tc>
          <w:tcPr>
            <w:tcW w:w="688" w:type="pct"/>
            <w:vMerge w:val="restart"/>
            <w:tcBorders>
              <w:left w:val="nil"/>
              <w:right w:val="nil"/>
            </w:tcBorders>
            <w:vAlign w:val="center"/>
          </w:tcPr>
          <w:p w14:paraId="4CAC23C8" w14:textId="77777777" w:rsidR="00E754DD" w:rsidRDefault="00000000">
            <w:pPr>
              <w:spacing w:line="360" w:lineRule="auto"/>
              <w:jc w:val="center"/>
              <w:rPr>
                <w:rFonts w:ascii="宋体" w:eastAsia="宋体" w:hAnsi="宋体" w:cs="宋体"/>
                <w:szCs w:val="21"/>
              </w:rPr>
            </w:pPr>
            <w:r>
              <w:rPr>
                <w:rFonts w:ascii="宋体" w:eastAsia="宋体" w:hAnsi="宋体" w:cs="宋体" w:hint="eastAsia"/>
              </w:rPr>
              <w:t>血清</w:t>
            </w:r>
            <w:proofErr w:type="spellStart"/>
            <w:r>
              <w:rPr>
                <w:rFonts w:ascii="宋体" w:eastAsia="宋体" w:hAnsi="宋体" w:cs="宋体" w:hint="eastAsia"/>
              </w:rPr>
              <w:t>Hcy</w:t>
            </w:r>
            <w:proofErr w:type="spellEnd"/>
            <w:r>
              <w:rPr>
                <w:rFonts w:ascii="宋体" w:eastAsia="宋体" w:hAnsi="宋体" w:cs="宋体" w:hint="eastAsia"/>
              </w:rPr>
              <w:t>水平</w:t>
            </w:r>
          </w:p>
        </w:tc>
        <w:bookmarkEnd w:id="1"/>
        <w:tc>
          <w:tcPr>
            <w:tcW w:w="687" w:type="pct"/>
            <w:gridSpan w:val="2"/>
            <w:tcBorders>
              <w:left w:val="nil"/>
              <w:right w:val="nil"/>
            </w:tcBorders>
            <w:vAlign w:val="center"/>
          </w:tcPr>
          <w:p w14:paraId="02E588C0" w14:textId="77777777" w:rsidR="00E754DD" w:rsidRDefault="00000000">
            <w:pPr>
              <w:spacing w:line="360" w:lineRule="auto"/>
              <w:jc w:val="center"/>
              <w:rPr>
                <w:rFonts w:ascii="宋体" w:eastAsia="宋体" w:hAnsi="宋体" w:cs="宋体"/>
                <w:szCs w:val="21"/>
              </w:rPr>
            </w:pPr>
            <w:r>
              <w:rPr>
                <w:rFonts w:ascii="宋体" w:hAnsi="宋体" w:hint="eastAsia"/>
              </w:rPr>
              <w:t>病理诊断</w:t>
            </w:r>
          </w:p>
        </w:tc>
        <w:tc>
          <w:tcPr>
            <w:tcW w:w="353" w:type="pct"/>
            <w:vMerge w:val="restart"/>
            <w:tcBorders>
              <w:left w:val="nil"/>
              <w:right w:val="nil"/>
            </w:tcBorders>
            <w:vAlign w:val="center"/>
          </w:tcPr>
          <w:p w14:paraId="3ABBE01A" w14:textId="77777777" w:rsidR="00E754DD" w:rsidRDefault="00000000">
            <w:pPr>
              <w:spacing w:line="360" w:lineRule="auto"/>
              <w:jc w:val="center"/>
              <w:rPr>
                <w:rFonts w:ascii="宋体" w:eastAsia="宋体" w:hAnsi="宋体" w:cs="宋体"/>
                <w:szCs w:val="21"/>
              </w:rPr>
            </w:pPr>
            <w:r>
              <w:rPr>
                <w:rFonts w:ascii="宋体" w:hAnsi="宋体" w:hint="eastAsia"/>
              </w:rPr>
              <w:t>合计</w:t>
            </w:r>
          </w:p>
        </w:tc>
        <w:tc>
          <w:tcPr>
            <w:tcW w:w="501" w:type="pct"/>
            <w:vMerge w:val="restart"/>
            <w:tcBorders>
              <w:left w:val="nil"/>
              <w:right w:val="nil"/>
            </w:tcBorders>
            <w:vAlign w:val="center"/>
          </w:tcPr>
          <w:p w14:paraId="549121AF" w14:textId="77777777" w:rsidR="00E754DD" w:rsidRDefault="00000000">
            <w:pPr>
              <w:spacing w:line="360" w:lineRule="auto"/>
              <w:jc w:val="center"/>
              <w:rPr>
                <w:rFonts w:ascii="宋体" w:hAnsi="宋体"/>
              </w:rPr>
            </w:pPr>
            <w:r>
              <w:rPr>
                <w:rFonts w:ascii="宋体" w:hAnsi="宋体" w:hint="eastAsia"/>
              </w:rPr>
              <w:t>联合诊断</w:t>
            </w:r>
          </w:p>
        </w:tc>
        <w:tc>
          <w:tcPr>
            <w:tcW w:w="687" w:type="pct"/>
            <w:gridSpan w:val="2"/>
            <w:tcBorders>
              <w:left w:val="nil"/>
              <w:right w:val="nil"/>
            </w:tcBorders>
            <w:vAlign w:val="center"/>
          </w:tcPr>
          <w:p w14:paraId="5EC6180E" w14:textId="77777777" w:rsidR="00E754DD" w:rsidRDefault="00000000">
            <w:pPr>
              <w:spacing w:line="360" w:lineRule="auto"/>
              <w:jc w:val="center"/>
              <w:rPr>
                <w:rFonts w:ascii="宋体" w:hAnsi="宋体"/>
              </w:rPr>
            </w:pPr>
            <w:r>
              <w:rPr>
                <w:rFonts w:ascii="宋体" w:hAnsi="宋体" w:hint="eastAsia"/>
              </w:rPr>
              <w:t>病理诊断</w:t>
            </w:r>
          </w:p>
        </w:tc>
        <w:tc>
          <w:tcPr>
            <w:tcW w:w="353" w:type="pct"/>
            <w:vMerge w:val="restart"/>
            <w:tcBorders>
              <w:left w:val="nil"/>
              <w:right w:val="nil"/>
            </w:tcBorders>
            <w:vAlign w:val="center"/>
          </w:tcPr>
          <w:p w14:paraId="7095B6FC" w14:textId="77777777" w:rsidR="00E754DD" w:rsidRDefault="00000000">
            <w:pPr>
              <w:spacing w:line="360" w:lineRule="auto"/>
              <w:jc w:val="center"/>
              <w:rPr>
                <w:rFonts w:ascii="宋体" w:hAnsi="宋体"/>
              </w:rPr>
            </w:pPr>
            <w:r>
              <w:rPr>
                <w:rFonts w:ascii="宋体" w:hAnsi="宋体" w:hint="eastAsia"/>
              </w:rPr>
              <w:t>合计</w:t>
            </w:r>
          </w:p>
        </w:tc>
      </w:tr>
      <w:tr w:rsidR="00E754DD" w14:paraId="4E7B50D4" w14:textId="77777777">
        <w:trPr>
          <w:trHeight w:val="90"/>
        </w:trPr>
        <w:tc>
          <w:tcPr>
            <w:tcW w:w="688" w:type="pct"/>
            <w:vMerge/>
            <w:tcBorders>
              <w:left w:val="nil"/>
              <w:right w:val="nil"/>
            </w:tcBorders>
            <w:vAlign w:val="center"/>
          </w:tcPr>
          <w:p w14:paraId="3CA4526E" w14:textId="77777777" w:rsidR="00E754DD" w:rsidRDefault="00E754DD">
            <w:pPr>
              <w:spacing w:line="360" w:lineRule="auto"/>
              <w:jc w:val="center"/>
              <w:rPr>
                <w:rFonts w:ascii="宋体" w:eastAsia="宋体" w:hAnsi="宋体" w:cs="宋体"/>
                <w:szCs w:val="21"/>
              </w:rPr>
            </w:pPr>
          </w:p>
        </w:tc>
        <w:tc>
          <w:tcPr>
            <w:tcW w:w="333" w:type="pct"/>
            <w:tcBorders>
              <w:left w:val="nil"/>
              <w:right w:val="nil"/>
            </w:tcBorders>
            <w:vAlign w:val="center"/>
          </w:tcPr>
          <w:p w14:paraId="06FB0AC0"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阳性</w:t>
            </w:r>
          </w:p>
        </w:tc>
        <w:tc>
          <w:tcPr>
            <w:tcW w:w="353" w:type="pct"/>
            <w:tcBorders>
              <w:left w:val="nil"/>
              <w:right w:val="nil"/>
            </w:tcBorders>
            <w:vAlign w:val="center"/>
          </w:tcPr>
          <w:p w14:paraId="67D8117C"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阴性</w:t>
            </w:r>
          </w:p>
        </w:tc>
        <w:tc>
          <w:tcPr>
            <w:tcW w:w="353" w:type="pct"/>
            <w:vMerge/>
            <w:tcBorders>
              <w:left w:val="nil"/>
              <w:right w:val="nil"/>
            </w:tcBorders>
            <w:vAlign w:val="center"/>
          </w:tcPr>
          <w:p w14:paraId="6723A28D" w14:textId="77777777" w:rsidR="00E754DD" w:rsidRDefault="00E754DD">
            <w:pPr>
              <w:spacing w:line="360" w:lineRule="auto"/>
              <w:jc w:val="center"/>
              <w:rPr>
                <w:rFonts w:ascii="宋体" w:eastAsia="宋体" w:hAnsi="宋体" w:cs="宋体"/>
                <w:szCs w:val="21"/>
              </w:rPr>
            </w:pPr>
          </w:p>
        </w:tc>
        <w:tc>
          <w:tcPr>
            <w:tcW w:w="688" w:type="pct"/>
            <w:vMerge/>
            <w:tcBorders>
              <w:left w:val="nil"/>
              <w:right w:val="nil"/>
            </w:tcBorders>
            <w:vAlign w:val="center"/>
          </w:tcPr>
          <w:p w14:paraId="5D1FF9A0" w14:textId="77777777" w:rsidR="00E754DD" w:rsidRDefault="00E754DD">
            <w:pPr>
              <w:spacing w:line="360" w:lineRule="auto"/>
              <w:jc w:val="center"/>
              <w:rPr>
                <w:rFonts w:ascii="宋体" w:eastAsia="宋体" w:hAnsi="宋体" w:cs="宋体"/>
                <w:szCs w:val="21"/>
              </w:rPr>
            </w:pPr>
          </w:p>
        </w:tc>
        <w:tc>
          <w:tcPr>
            <w:tcW w:w="333" w:type="pct"/>
            <w:tcBorders>
              <w:left w:val="nil"/>
              <w:right w:val="nil"/>
            </w:tcBorders>
            <w:vAlign w:val="center"/>
          </w:tcPr>
          <w:p w14:paraId="2EB85960"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阳性</w:t>
            </w:r>
          </w:p>
        </w:tc>
        <w:tc>
          <w:tcPr>
            <w:tcW w:w="353" w:type="pct"/>
            <w:tcBorders>
              <w:left w:val="nil"/>
              <w:right w:val="nil"/>
            </w:tcBorders>
            <w:vAlign w:val="center"/>
          </w:tcPr>
          <w:p w14:paraId="71498114"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阴性</w:t>
            </w:r>
          </w:p>
        </w:tc>
        <w:tc>
          <w:tcPr>
            <w:tcW w:w="353" w:type="pct"/>
            <w:vMerge/>
            <w:tcBorders>
              <w:left w:val="nil"/>
              <w:right w:val="nil"/>
            </w:tcBorders>
            <w:vAlign w:val="center"/>
          </w:tcPr>
          <w:p w14:paraId="2BE9C7DD" w14:textId="77777777" w:rsidR="00E754DD" w:rsidRDefault="00E754DD">
            <w:pPr>
              <w:spacing w:line="360" w:lineRule="auto"/>
              <w:jc w:val="center"/>
              <w:rPr>
                <w:rFonts w:ascii="宋体" w:eastAsia="宋体" w:hAnsi="宋体" w:cs="宋体"/>
                <w:szCs w:val="21"/>
              </w:rPr>
            </w:pPr>
          </w:p>
        </w:tc>
        <w:tc>
          <w:tcPr>
            <w:tcW w:w="501" w:type="pct"/>
            <w:vMerge/>
            <w:tcBorders>
              <w:left w:val="nil"/>
              <w:right w:val="nil"/>
            </w:tcBorders>
            <w:vAlign w:val="center"/>
          </w:tcPr>
          <w:p w14:paraId="42A53CD5" w14:textId="77777777" w:rsidR="00E754DD" w:rsidRDefault="00E754DD">
            <w:pPr>
              <w:spacing w:line="360" w:lineRule="auto"/>
              <w:jc w:val="center"/>
              <w:rPr>
                <w:rFonts w:ascii="宋体" w:eastAsia="宋体" w:hAnsi="宋体" w:cs="宋体"/>
                <w:szCs w:val="21"/>
              </w:rPr>
            </w:pPr>
          </w:p>
        </w:tc>
        <w:tc>
          <w:tcPr>
            <w:tcW w:w="333" w:type="pct"/>
            <w:tcBorders>
              <w:left w:val="nil"/>
              <w:right w:val="nil"/>
            </w:tcBorders>
            <w:vAlign w:val="center"/>
          </w:tcPr>
          <w:p w14:paraId="581B7F29"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阳性</w:t>
            </w:r>
          </w:p>
        </w:tc>
        <w:tc>
          <w:tcPr>
            <w:tcW w:w="353" w:type="pct"/>
            <w:tcBorders>
              <w:left w:val="nil"/>
              <w:right w:val="nil"/>
            </w:tcBorders>
            <w:vAlign w:val="center"/>
          </w:tcPr>
          <w:p w14:paraId="31EA222F"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阴性</w:t>
            </w:r>
          </w:p>
        </w:tc>
        <w:tc>
          <w:tcPr>
            <w:tcW w:w="353" w:type="pct"/>
            <w:vMerge/>
            <w:tcBorders>
              <w:left w:val="nil"/>
              <w:right w:val="nil"/>
            </w:tcBorders>
            <w:vAlign w:val="center"/>
          </w:tcPr>
          <w:p w14:paraId="7E2E3A30" w14:textId="77777777" w:rsidR="00E754DD" w:rsidRDefault="00E754DD">
            <w:pPr>
              <w:spacing w:line="360" w:lineRule="auto"/>
              <w:jc w:val="center"/>
              <w:rPr>
                <w:rFonts w:ascii="宋体" w:eastAsia="宋体" w:hAnsi="宋体" w:cs="宋体"/>
                <w:szCs w:val="21"/>
              </w:rPr>
            </w:pPr>
          </w:p>
        </w:tc>
      </w:tr>
      <w:tr w:rsidR="00E754DD" w14:paraId="7C02294E" w14:textId="77777777">
        <w:trPr>
          <w:trHeight w:val="325"/>
        </w:trPr>
        <w:tc>
          <w:tcPr>
            <w:tcW w:w="688" w:type="pct"/>
            <w:tcBorders>
              <w:top w:val="single" w:sz="4" w:space="0" w:color="auto"/>
              <w:left w:val="nil"/>
              <w:bottom w:val="nil"/>
              <w:right w:val="nil"/>
            </w:tcBorders>
            <w:vAlign w:val="center"/>
          </w:tcPr>
          <w:p w14:paraId="6BD8A590"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阳性</w:t>
            </w:r>
          </w:p>
        </w:tc>
        <w:tc>
          <w:tcPr>
            <w:tcW w:w="568" w:type="dxa"/>
            <w:tcBorders>
              <w:top w:val="single" w:sz="4" w:space="0" w:color="auto"/>
              <w:left w:val="nil"/>
              <w:bottom w:val="nil"/>
              <w:right w:val="nil"/>
            </w:tcBorders>
            <w:vAlign w:val="center"/>
          </w:tcPr>
          <w:p w14:paraId="71546944"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28</w:t>
            </w:r>
          </w:p>
        </w:tc>
        <w:tc>
          <w:tcPr>
            <w:tcW w:w="604" w:type="dxa"/>
            <w:tcBorders>
              <w:top w:val="single" w:sz="4" w:space="0" w:color="auto"/>
              <w:left w:val="nil"/>
              <w:bottom w:val="nil"/>
              <w:right w:val="nil"/>
            </w:tcBorders>
            <w:vAlign w:val="center"/>
          </w:tcPr>
          <w:p w14:paraId="4E573B88"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9</w:t>
            </w:r>
          </w:p>
        </w:tc>
        <w:tc>
          <w:tcPr>
            <w:tcW w:w="602" w:type="dxa"/>
            <w:tcBorders>
              <w:top w:val="single" w:sz="4" w:space="0" w:color="auto"/>
              <w:left w:val="nil"/>
              <w:bottom w:val="nil"/>
              <w:right w:val="nil"/>
            </w:tcBorders>
            <w:vAlign w:val="center"/>
          </w:tcPr>
          <w:p w14:paraId="0393A48E"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37</w:t>
            </w:r>
          </w:p>
        </w:tc>
        <w:tc>
          <w:tcPr>
            <w:tcW w:w="688" w:type="pct"/>
            <w:tcBorders>
              <w:top w:val="single" w:sz="4" w:space="0" w:color="auto"/>
              <w:left w:val="nil"/>
              <w:bottom w:val="nil"/>
              <w:right w:val="nil"/>
            </w:tcBorders>
            <w:vAlign w:val="center"/>
          </w:tcPr>
          <w:p w14:paraId="521C8E63"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阳性</w:t>
            </w:r>
          </w:p>
        </w:tc>
        <w:tc>
          <w:tcPr>
            <w:tcW w:w="568" w:type="dxa"/>
            <w:tcBorders>
              <w:top w:val="single" w:sz="4" w:space="0" w:color="auto"/>
              <w:left w:val="nil"/>
              <w:bottom w:val="nil"/>
              <w:right w:val="nil"/>
            </w:tcBorders>
            <w:vAlign w:val="center"/>
          </w:tcPr>
          <w:p w14:paraId="2C8F4BA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33</w:t>
            </w:r>
          </w:p>
        </w:tc>
        <w:tc>
          <w:tcPr>
            <w:tcW w:w="604" w:type="dxa"/>
            <w:tcBorders>
              <w:top w:val="single" w:sz="4" w:space="0" w:color="auto"/>
              <w:left w:val="nil"/>
              <w:bottom w:val="nil"/>
              <w:right w:val="nil"/>
            </w:tcBorders>
            <w:vAlign w:val="center"/>
          </w:tcPr>
          <w:p w14:paraId="1055F76C"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8</w:t>
            </w:r>
          </w:p>
        </w:tc>
        <w:tc>
          <w:tcPr>
            <w:tcW w:w="602" w:type="dxa"/>
            <w:tcBorders>
              <w:top w:val="single" w:sz="4" w:space="0" w:color="auto"/>
              <w:left w:val="nil"/>
              <w:bottom w:val="nil"/>
              <w:right w:val="nil"/>
            </w:tcBorders>
            <w:vAlign w:val="center"/>
          </w:tcPr>
          <w:p w14:paraId="4D01B51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41</w:t>
            </w:r>
          </w:p>
        </w:tc>
        <w:tc>
          <w:tcPr>
            <w:tcW w:w="501" w:type="pct"/>
            <w:tcBorders>
              <w:top w:val="single" w:sz="4" w:space="0" w:color="auto"/>
              <w:left w:val="nil"/>
              <w:bottom w:val="nil"/>
              <w:right w:val="nil"/>
            </w:tcBorders>
            <w:vAlign w:val="center"/>
          </w:tcPr>
          <w:p w14:paraId="558CF870"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阳性</w:t>
            </w:r>
          </w:p>
        </w:tc>
        <w:tc>
          <w:tcPr>
            <w:tcW w:w="568" w:type="dxa"/>
            <w:tcBorders>
              <w:top w:val="single" w:sz="4" w:space="0" w:color="auto"/>
              <w:left w:val="nil"/>
              <w:bottom w:val="nil"/>
              <w:right w:val="nil"/>
            </w:tcBorders>
            <w:vAlign w:val="center"/>
          </w:tcPr>
          <w:p w14:paraId="1C23CCA9"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44</w:t>
            </w:r>
          </w:p>
        </w:tc>
        <w:tc>
          <w:tcPr>
            <w:tcW w:w="604" w:type="dxa"/>
            <w:tcBorders>
              <w:top w:val="single" w:sz="4" w:space="0" w:color="auto"/>
              <w:left w:val="nil"/>
              <w:bottom w:val="nil"/>
              <w:right w:val="nil"/>
            </w:tcBorders>
            <w:vAlign w:val="center"/>
          </w:tcPr>
          <w:p w14:paraId="246F3F6C"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6</w:t>
            </w:r>
          </w:p>
        </w:tc>
        <w:tc>
          <w:tcPr>
            <w:tcW w:w="602" w:type="dxa"/>
            <w:tcBorders>
              <w:top w:val="single" w:sz="4" w:space="0" w:color="auto"/>
              <w:left w:val="nil"/>
              <w:bottom w:val="nil"/>
              <w:right w:val="nil"/>
            </w:tcBorders>
            <w:vAlign w:val="center"/>
          </w:tcPr>
          <w:p w14:paraId="5AE0C569"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50</w:t>
            </w:r>
          </w:p>
        </w:tc>
      </w:tr>
      <w:tr w:rsidR="00E754DD" w14:paraId="5B9A2714" w14:textId="77777777">
        <w:trPr>
          <w:trHeight w:val="325"/>
        </w:trPr>
        <w:tc>
          <w:tcPr>
            <w:tcW w:w="688" w:type="pct"/>
            <w:tcBorders>
              <w:top w:val="nil"/>
              <w:left w:val="nil"/>
              <w:bottom w:val="nil"/>
              <w:right w:val="nil"/>
            </w:tcBorders>
            <w:vAlign w:val="center"/>
          </w:tcPr>
          <w:p w14:paraId="79F77F35"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阴性</w:t>
            </w:r>
          </w:p>
        </w:tc>
        <w:tc>
          <w:tcPr>
            <w:tcW w:w="568" w:type="dxa"/>
            <w:tcBorders>
              <w:top w:val="nil"/>
              <w:left w:val="nil"/>
              <w:bottom w:val="nil"/>
              <w:right w:val="nil"/>
            </w:tcBorders>
            <w:vAlign w:val="center"/>
          </w:tcPr>
          <w:p w14:paraId="26D8076C"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22</w:t>
            </w:r>
          </w:p>
        </w:tc>
        <w:tc>
          <w:tcPr>
            <w:tcW w:w="604" w:type="dxa"/>
            <w:tcBorders>
              <w:top w:val="nil"/>
              <w:left w:val="nil"/>
              <w:bottom w:val="nil"/>
              <w:right w:val="nil"/>
            </w:tcBorders>
            <w:vAlign w:val="center"/>
          </w:tcPr>
          <w:p w14:paraId="48A174C1"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91</w:t>
            </w:r>
          </w:p>
        </w:tc>
        <w:tc>
          <w:tcPr>
            <w:tcW w:w="602" w:type="dxa"/>
            <w:tcBorders>
              <w:top w:val="nil"/>
              <w:left w:val="nil"/>
              <w:bottom w:val="nil"/>
              <w:right w:val="nil"/>
            </w:tcBorders>
            <w:vAlign w:val="center"/>
          </w:tcPr>
          <w:p w14:paraId="7508E4A1"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113</w:t>
            </w:r>
          </w:p>
        </w:tc>
        <w:tc>
          <w:tcPr>
            <w:tcW w:w="688" w:type="pct"/>
            <w:tcBorders>
              <w:top w:val="nil"/>
              <w:left w:val="nil"/>
              <w:bottom w:val="nil"/>
              <w:right w:val="nil"/>
            </w:tcBorders>
            <w:vAlign w:val="center"/>
          </w:tcPr>
          <w:p w14:paraId="7137F07E"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阴性</w:t>
            </w:r>
          </w:p>
        </w:tc>
        <w:tc>
          <w:tcPr>
            <w:tcW w:w="568" w:type="dxa"/>
            <w:tcBorders>
              <w:top w:val="nil"/>
              <w:left w:val="nil"/>
              <w:bottom w:val="nil"/>
              <w:right w:val="nil"/>
            </w:tcBorders>
            <w:vAlign w:val="center"/>
          </w:tcPr>
          <w:p w14:paraId="0A12034B"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17</w:t>
            </w:r>
          </w:p>
        </w:tc>
        <w:tc>
          <w:tcPr>
            <w:tcW w:w="604" w:type="dxa"/>
            <w:tcBorders>
              <w:top w:val="nil"/>
              <w:left w:val="nil"/>
              <w:bottom w:val="nil"/>
              <w:right w:val="nil"/>
            </w:tcBorders>
            <w:vAlign w:val="center"/>
          </w:tcPr>
          <w:p w14:paraId="70150EEA"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92</w:t>
            </w:r>
          </w:p>
        </w:tc>
        <w:tc>
          <w:tcPr>
            <w:tcW w:w="602" w:type="dxa"/>
            <w:tcBorders>
              <w:top w:val="nil"/>
              <w:left w:val="nil"/>
              <w:bottom w:val="nil"/>
              <w:right w:val="nil"/>
            </w:tcBorders>
            <w:vAlign w:val="center"/>
          </w:tcPr>
          <w:p w14:paraId="72EA097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109</w:t>
            </w:r>
          </w:p>
        </w:tc>
        <w:tc>
          <w:tcPr>
            <w:tcW w:w="501" w:type="pct"/>
            <w:tcBorders>
              <w:top w:val="nil"/>
              <w:left w:val="nil"/>
              <w:bottom w:val="nil"/>
              <w:right w:val="nil"/>
            </w:tcBorders>
            <w:vAlign w:val="center"/>
          </w:tcPr>
          <w:p w14:paraId="1779E7C9"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阴性</w:t>
            </w:r>
          </w:p>
        </w:tc>
        <w:tc>
          <w:tcPr>
            <w:tcW w:w="568" w:type="dxa"/>
            <w:tcBorders>
              <w:top w:val="nil"/>
              <w:left w:val="nil"/>
              <w:bottom w:val="nil"/>
              <w:right w:val="nil"/>
            </w:tcBorders>
            <w:vAlign w:val="center"/>
          </w:tcPr>
          <w:p w14:paraId="3ABDBD7F"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6</w:t>
            </w:r>
          </w:p>
        </w:tc>
        <w:tc>
          <w:tcPr>
            <w:tcW w:w="604" w:type="dxa"/>
            <w:tcBorders>
              <w:top w:val="nil"/>
              <w:left w:val="nil"/>
              <w:bottom w:val="nil"/>
              <w:right w:val="nil"/>
            </w:tcBorders>
            <w:vAlign w:val="center"/>
          </w:tcPr>
          <w:p w14:paraId="1C1B82D0"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94</w:t>
            </w:r>
          </w:p>
        </w:tc>
        <w:tc>
          <w:tcPr>
            <w:tcW w:w="602" w:type="dxa"/>
            <w:tcBorders>
              <w:top w:val="nil"/>
              <w:left w:val="nil"/>
              <w:bottom w:val="nil"/>
              <w:right w:val="nil"/>
            </w:tcBorders>
            <w:vAlign w:val="center"/>
          </w:tcPr>
          <w:p w14:paraId="6676189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100</w:t>
            </w:r>
          </w:p>
        </w:tc>
      </w:tr>
      <w:tr w:rsidR="00E754DD" w14:paraId="68845BFC" w14:textId="77777777">
        <w:trPr>
          <w:trHeight w:val="90"/>
        </w:trPr>
        <w:tc>
          <w:tcPr>
            <w:tcW w:w="688" w:type="pct"/>
            <w:tcBorders>
              <w:top w:val="nil"/>
              <w:left w:val="nil"/>
              <w:bottom w:val="single" w:sz="4" w:space="0" w:color="auto"/>
              <w:right w:val="nil"/>
            </w:tcBorders>
            <w:vAlign w:val="center"/>
          </w:tcPr>
          <w:p w14:paraId="43DA1C62"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合计</w:t>
            </w:r>
          </w:p>
        </w:tc>
        <w:tc>
          <w:tcPr>
            <w:tcW w:w="333" w:type="pct"/>
            <w:tcBorders>
              <w:top w:val="nil"/>
              <w:left w:val="nil"/>
              <w:bottom w:val="single" w:sz="4" w:space="0" w:color="auto"/>
              <w:right w:val="nil"/>
            </w:tcBorders>
            <w:vAlign w:val="center"/>
          </w:tcPr>
          <w:p w14:paraId="217FA795"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50</w:t>
            </w:r>
          </w:p>
        </w:tc>
        <w:tc>
          <w:tcPr>
            <w:tcW w:w="353" w:type="pct"/>
            <w:tcBorders>
              <w:top w:val="nil"/>
              <w:left w:val="nil"/>
              <w:bottom w:val="single" w:sz="4" w:space="0" w:color="auto"/>
              <w:right w:val="nil"/>
            </w:tcBorders>
            <w:vAlign w:val="center"/>
          </w:tcPr>
          <w:p w14:paraId="394CB9A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100</w:t>
            </w:r>
          </w:p>
        </w:tc>
        <w:tc>
          <w:tcPr>
            <w:tcW w:w="353" w:type="pct"/>
            <w:tcBorders>
              <w:top w:val="nil"/>
              <w:left w:val="nil"/>
              <w:bottom w:val="single" w:sz="4" w:space="0" w:color="auto"/>
              <w:right w:val="nil"/>
            </w:tcBorders>
            <w:vAlign w:val="center"/>
          </w:tcPr>
          <w:p w14:paraId="4F7AE9D3"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150</w:t>
            </w:r>
          </w:p>
        </w:tc>
        <w:tc>
          <w:tcPr>
            <w:tcW w:w="688" w:type="pct"/>
            <w:tcBorders>
              <w:top w:val="nil"/>
              <w:left w:val="nil"/>
              <w:bottom w:val="single" w:sz="4" w:space="0" w:color="auto"/>
              <w:right w:val="nil"/>
            </w:tcBorders>
            <w:vAlign w:val="center"/>
          </w:tcPr>
          <w:p w14:paraId="3969194C"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合计</w:t>
            </w:r>
          </w:p>
        </w:tc>
        <w:tc>
          <w:tcPr>
            <w:tcW w:w="333" w:type="pct"/>
            <w:tcBorders>
              <w:top w:val="nil"/>
              <w:left w:val="nil"/>
              <w:bottom w:val="single" w:sz="4" w:space="0" w:color="auto"/>
              <w:right w:val="nil"/>
            </w:tcBorders>
            <w:vAlign w:val="center"/>
          </w:tcPr>
          <w:p w14:paraId="0FFC43B1"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50</w:t>
            </w:r>
          </w:p>
        </w:tc>
        <w:tc>
          <w:tcPr>
            <w:tcW w:w="353" w:type="pct"/>
            <w:tcBorders>
              <w:top w:val="nil"/>
              <w:left w:val="nil"/>
              <w:bottom w:val="single" w:sz="4" w:space="0" w:color="auto"/>
              <w:right w:val="nil"/>
            </w:tcBorders>
            <w:vAlign w:val="center"/>
          </w:tcPr>
          <w:p w14:paraId="5BBD90ED"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100</w:t>
            </w:r>
          </w:p>
        </w:tc>
        <w:tc>
          <w:tcPr>
            <w:tcW w:w="353" w:type="pct"/>
            <w:tcBorders>
              <w:top w:val="nil"/>
              <w:left w:val="nil"/>
              <w:bottom w:val="single" w:sz="4" w:space="0" w:color="auto"/>
              <w:right w:val="nil"/>
            </w:tcBorders>
            <w:vAlign w:val="center"/>
          </w:tcPr>
          <w:p w14:paraId="126DB3B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150</w:t>
            </w:r>
          </w:p>
        </w:tc>
        <w:tc>
          <w:tcPr>
            <w:tcW w:w="501" w:type="pct"/>
            <w:tcBorders>
              <w:top w:val="nil"/>
              <w:left w:val="nil"/>
              <w:bottom w:val="single" w:sz="4" w:space="0" w:color="auto"/>
              <w:right w:val="nil"/>
            </w:tcBorders>
            <w:vAlign w:val="center"/>
          </w:tcPr>
          <w:p w14:paraId="1593F7E7"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合计</w:t>
            </w:r>
          </w:p>
        </w:tc>
        <w:tc>
          <w:tcPr>
            <w:tcW w:w="333" w:type="pct"/>
            <w:tcBorders>
              <w:top w:val="nil"/>
              <w:left w:val="nil"/>
              <w:bottom w:val="single" w:sz="4" w:space="0" w:color="auto"/>
              <w:right w:val="nil"/>
            </w:tcBorders>
            <w:vAlign w:val="center"/>
          </w:tcPr>
          <w:p w14:paraId="689A27E4"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50</w:t>
            </w:r>
          </w:p>
        </w:tc>
        <w:tc>
          <w:tcPr>
            <w:tcW w:w="353" w:type="pct"/>
            <w:tcBorders>
              <w:top w:val="nil"/>
              <w:left w:val="nil"/>
              <w:bottom w:val="single" w:sz="4" w:space="0" w:color="auto"/>
              <w:right w:val="nil"/>
            </w:tcBorders>
            <w:vAlign w:val="center"/>
          </w:tcPr>
          <w:p w14:paraId="7CF940E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100</w:t>
            </w:r>
          </w:p>
        </w:tc>
        <w:tc>
          <w:tcPr>
            <w:tcW w:w="353" w:type="pct"/>
            <w:tcBorders>
              <w:top w:val="nil"/>
              <w:left w:val="nil"/>
              <w:bottom w:val="single" w:sz="4" w:space="0" w:color="auto"/>
              <w:right w:val="nil"/>
            </w:tcBorders>
            <w:vAlign w:val="center"/>
          </w:tcPr>
          <w:p w14:paraId="013BA70D"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150</w:t>
            </w:r>
          </w:p>
        </w:tc>
      </w:tr>
    </w:tbl>
    <w:p w14:paraId="38C9D094" w14:textId="77777777" w:rsidR="00E754DD" w:rsidRDefault="00000000">
      <w:pPr>
        <w:pStyle w:val="a3"/>
        <w:spacing w:line="480" w:lineRule="auto"/>
        <w:ind w:firstLineChars="0" w:firstLine="0"/>
        <w:rPr>
          <w:rFonts w:ascii="宋体" w:hAnsi="宋体" w:cs="宋体"/>
          <w:szCs w:val="21"/>
        </w:rPr>
      </w:pPr>
      <w:r>
        <w:rPr>
          <w:rFonts w:ascii="宋体" w:hAnsi="宋体" w:cs="宋体" w:hint="eastAsia"/>
          <w:szCs w:val="21"/>
        </w:rPr>
        <w:t>2.3</w:t>
      </w:r>
      <w:r>
        <w:rPr>
          <w:rFonts w:ascii="宋体" w:hAnsi="宋体" w:cs="宋体" w:hint="eastAsia"/>
        </w:rPr>
        <w:t>血清AMH、</w:t>
      </w:r>
      <w:proofErr w:type="spellStart"/>
      <w:r>
        <w:rPr>
          <w:rFonts w:ascii="宋体" w:hAnsi="宋体" w:cs="宋体" w:hint="eastAsia"/>
        </w:rPr>
        <w:t>Hcy</w:t>
      </w:r>
      <w:proofErr w:type="spellEnd"/>
      <w:r>
        <w:rPr>
          <w:rFonts w:ascii="宋体" w:hAnsi="宋体" w:cs="宋体" w:hint="eastAsia"/>
        </w:rPr>
        <w:t>水平诊断PCOS价值</w:t>
      </w:r>
    </w:p>
    <w:p w14:paraId="315390A3" w14:textId="77777777" w:rsidR="00E754DD" w:rsidRDefault="00000000">
      <w:pPr>
        <w:widowControl/>
        <w:spacing w:line="480" w:lineRule="auto"/>
        <w:ind w:firstLineChars="200" w:firstLine="420"/>
        <w:jc w:val="left"/>
        <w:rPr>
          <w:rFonts w:ascii="宋体" w:hAnsi="宋体" w:cs="宋体"/>
          <w:szCs w:val="21"/>
        </w:rPr>
      </w:pPr>
      <w:r>
        <w:rPr>
          <w:rFonts w:ascii="宋体" w:eastAsia="宋体" w:hAnsi="宋体" w:cs="宋体" w:hint="eastAsia"/>
          <w:szCs w:val="21"/>
        </w:rPr>
        <w:t>医生联合诊断患者</w:t>
      </w:r>
      <w:r>
        <w:rPr>
          <w:rFonts w:ascii="宋体" w:eastAsia="宋体" w:hAnsi="宋体" w:cs="宋体" w:hint="eastAsia"/>
        </w:rPr>
        <w:t>血清AMH、</w:t>
      </w:r>
      <w:proofErr w:type="spellStart"/>
      <w:r>
        <w:rPr>
          <w:rFonts w:ascii="宋体" w:eastAsia="宋体" w:hAnsi="宋体" w:cs="宋体" w:hint="eastAsia"/>
        </w:rPr>
        <w:t>Hcy</w:t>
      </w:r>
      <w:proofErr w:type="spellEnd"/>
      <w:r>
        <w:rPr>
          <w:rFonts w:ascii="宋体" w:eastAsia="宋体" w:hAnsi="宋体" w:cs="宋体" w:hint="eastAsia"/>
        </w:rPr>
        <w:t>水平敏感度、准确率高于单一检测，</w:t>
      </w:r>
      <w:r>
        <w:rPr>
          <w:rFonts w:ascii="宋体" w:eastAsia="宋体" w:hAnsi="宋体" w:cs="宋体" w:hint="eastAsia"/>
          <w:szCs w:val="21"/>
        </w:rPr>
        <w:t>P＜0.05，详见表4。</w:t>
      </w:r>
    </w:p>
    <w:p w14:paraId="6DE09301" w14:textId="77777777" w:rsidR="00E754DD" w:rsidRDefault="00000000">
      <w:pPr>
        <w:widowControl/>
        <w:spacing w:line="480" w:lineRule="auto"/>
        <w:ind w:firstLineChars="200" w:firstLine="420"/>
        <w:jc w:val="center"/>
      </w:pPr>
      <w:r>
        <w:rPr>
          <w:rFonts w:ascii="宋体" w:hAnsi="宋体" w:cs="宋体" w:hint="eastAsia"/>
          <w:szCs w:val="21"/>
        </w:rPr>
        <w:t>表4</w:t>
      </w:r>
      <w:r>
        <w:rPr>
          <w:rFonts w:ascii="宋体" w:eastAsia="宋体" w:hAnsi="宋体" w:cs="宋体" w:hint="eastAsia"/>
        </w:rPr>
        <w:t>血清AMH、</w:t>
      </w:r>
      <w:proofErr w:type="spellStart"/>
      <w:r>
        <w:rPr>
          <w:rFonts w:ascii="宋体" w:eastAsia="宋体" w:hAnsi="宋体" w:cs="宋体" w:hint="eastAsia"/>
        </w:rPr>
        <w:t>Hcy</w:t>
      </w:r>
      <w:proofErr w:type="spellEnd"/>
      <w:r>
        <w:rPr>
          <w:rFonts w:ascii="宋体" w:eastAsia="宋体" w:hAnsi="宋体" w:cs="宋体" w:hint="eastAsia"/>
        </w:rPr>
        <w:t>水平</w:t>
      </w:r>
      <w:r>
        <w:rPr>
          <w:rFonts w:ascii="宋体" w:hAnsi="宋体" w:cs="宋体" w:hint="eastAsia"/>
        </w:rPr>
        <w:t>诊断PCOS价值（n，%）</w:t>
      </w:r>
    </w:p>
    <w:tbl>
      <w:tblPr>
        <w:tblStyle w:val="a4"/>
        <w:tblW w:w="5000" w:type="pct"/>
        <w:tblLook w:val="04A0" w:firstRow="1" w:lastRow="0" w:firstColumn="1" w:lastColumn="0" w:noHBand="0" w:noVBand="1"/>
      </w:tblPr>
      <w:tblGrid>
        <w:gridCol w:w="946"/>
        <w:gridCol w:w="741"/>
        <w:gridCol w:w="1371"/>
        <w:gridCol w:w="1133"/>
        <w:gridCol w:w="1476"/>
        <w:gridCol w:w="1374"/>
        <w:gridCol w:w="1481"/>
      </w:tblGrid>
      <w:tr w:rsidR="00E754DD" w14:paraId="1A05FB05" w14:textId="77777777">
        <w:trPr>
          <w:trHeight w:val="325"/>
        </w:trPr>
        <w:tc>
          <w:tcPr>
            <w:tcW w:w="579" w:type="pct"/>
            <w:tcBorders>
              <w:top w:val="single" w:sz="4" w:space="0" w:color="auto"/>
              <w:left w:val="nil"/>
              <w:bottom w:val="nil"/>
              <w:right w:val="nil"/>
            </w:tcBorders>
            <w:vAlign w:val="center"/>
          </w:tcPr>
          <w:p w14:paraId="5B748CBD"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组别</w:t>
            </w:r>
          </w:p>
        </w:tc>
        <w:tc>
          <w:tcPr>
            <w:tcW w:w="434" w:type="pct"/>
            <w:tcBorders>
              <w:top w:val="single" w:sz="4" w:space="0" w:color="auto"/>
              <w:left w:val="nil"/>
              <w:bottom w:val="nil"/>
              <w:right w:val="nil"/>
            </w:tcBorders>
            <w:vAlign w:val="center"/>
          </w:tcPr>
          <w:p w14:paraId="214826C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AUC</w:t>
            </w:r>
          </w:p>
        </w:tc>
        <w:tc>
          <w:tcPr>
            <w:tcW w:w="804" w:type="pct"/>
            <w:tcBorders>
              <w:top w:val="single" w:sz="4" w:space="0" w:color="auto"/>
              <w:left w:val="nil"/>
              <w:bottom w:val="nil"/>
              <w:right w:val="nil"/>
            </w:tcBorders>
            <w:vAlign w:val="center"/>
          </w:tcPr>
          <w:p w14:paraId="680433EC"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95%CI</w:t>
            </w:r>
          </w:p>
        </w:tc>
        <w:tc>
          <w:tcPr>
            <w:tcW w:w="689" w:type="pct"/>
            <w:tcBorders>
              <w:top w:val="single" w:sz="4" w:space="0" w:color="auto"/>
              <w:left w:val="nil"/>
              <w:bottom w:val="nil"/>
              <w:right w:val="nil"/>
            </w:tcBorders>
            <w:vAlign w:val="center"/>
          </w:tcPr>
          <w:p w14:paraId="0448D535" w14:textId="77777777" w:rsidR="00E754DD" w:rsidRDefault="00000000">
            <w:pPr>
              <w:spacing w:line="360" w:lineRule="auto"/>
              <w:jc w:val="center"/>
              <w:rPr>
                <w:rFonts w:ascii="宋体" w:eastAsia="宋体" w:hAnsi="宋体" w:cs="宋体"/>
                <w:szCs w:val="21"/>
              </w:rPr>
            </w:pPr>
            <w:proofErr w:type="gramStart"/>
            <w:r>
              <w:rPr>
                <w:rFonts w:ascii="宋体" w:eastAsia="宋体" w:hAnsi="宋体" w:cs="宋体" w:hint="eastAsia"/>
                <w:szCs w:val="21"/>
              </w:rPr>
              <w:t>截点值</w:t>
            </w:r>
            <w:proofErr w:type="gramEnd"/>
          </w:p>
        </w:tc>
        <w:tc>
          <w:tcPr>
            <w:tcW w:w="769" w:type="pct"/>
            <w:tcBorders>
              <w:top w:val="single" w:sz="4" w:space="0" w:color="auto"/>
              <w:left w:val="nil"/>
              <w:bottom w:val="nil"/>
              <w:right w:val="nil"/>
            </w:tcBorders>
            <w:vAlign w:val="center"/>
          </w:tcPr>
          <w:p w14:paraId="7927F804"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敏感度</w:t>
            </w:r>
          </w:p>
        </w:tc>
        <w:tc>
          <w:tcPr>
            <w:tcW w:w="830" w:type="pct"/>
            <w:tcBorders>
              <w:top w:val="single" w:sz="4" w:space="0" w:color="auto"/>
              <w:left w:val="nil"/>
              <w:bottom w:val="nil"/>
              <w:right w:val="nil"/>
            </w:tcBorders>
            <w:vAlign w:val="center"/>
          </w:tcPr>
          <w:p w14:paraId="0D62A047"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特异度</w:t>
            </w:r>
          </w:p>
        </w:tc>
        <w:tc>
          <w:tcPr>
            <w:tcW w:w="892" w:type="pct"/>
            <w:tcBorders>
              <w:top w:val="single" w:sz="4" w:space="0" w:color="auto"/>
              <w:left w:val="nil"/>
              <w:bottom w:val="nil"/>
              <w:right w:val="nil"/>
            </w:tcBorders>
            <w:vAlign w:val="center"/>
          </w:tcPr>
          <w:p w14:paraId="1BAB69C9"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准确度</w:t>
            </w:r>
          </w:p>
        </w:tc>
      </w:tr>
      <w:tr w:rsidR="00E754DD" w14:paraId="39D3C3DE" w14:textId="77777777">
        <w:trPr>
          <w:trHeight w:val="90"/>
        </w:trPr>
        <w:tc>
          <w:tcPr>
            <w:tcW w:w="579" w:type="pct"/>
            <w:tcBorders>
              <w:top w:val="single" w:sz="4" w:space="0" w:color="auto"/>
              <w:left w:val="nil"/>
              <w:bottom w:val="nil"/>
              <w:right w:val="nil"/>
            </w:tcBorders>
            <w:vAlign w:val="center"/>
          </w:tcPr>
          <w:p w14:paraId="727BAEBA"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血清AMH水平</w:t>
            </w:r>
          </w:p>
        </w:tc>
        <w:tc>
          <w:tcPr>
            <w:tcW w:w="434" w:type="pct"/>
            <w:tcBorders>
              <w:top w:val="single" w:sz="4" w:space="0" w:color="auto"/>
              <w:left w:val="nil"/>
              <w:bottom w:val="nil"/>
              <w:right w:val="nil"/>
            </w:tcBorders>
            <w:vAlign w:val="center"/>
          </w:tcPr>
          <w:p w14:paraId="0DEB1374"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0.762</w:t>
            </w:r>
          </w:p>
        </w:tc>
        <w:tc>
          <w:tcPr>
            <w:tcW w:w="804" w:type="pct"/>
            <w:tcBorders>
              <w:top w:val="single" w:sz="4" w:space="0" w:color="auto"/>
              <w:left w:val="nil"/>
              <w:bottom w:val="nil"/>
              <w:right w:val="nil"/>
            </w:tcBorders>
            <w:vAlign w:val="center"/>
          </w:tcPr>
          <w:p w14:paraId="0E56029D"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0.751~0.813</w:t>
            </w:r>
          </w:p>
        </w:tc>
        <w:tc>
          <w:tcPr>
            <w:tcW w:w="689" w:type="pct"/>
            <w:tcBorders>
              <w:top w:val="single" w:sz="4" w:space="0" w:color="auto"/>
              <w:left w:val="nil"/>
              <w:bottom w:val="nil"/>
              <w:right w:val="nil"/>
            </w:tcBorders>
            <w:vAlign w:val="center"/>
          </w:tcPr>
          <w:p w14:paraId="14AF00BA"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15.54</w:t>
            </w:r>
            <w:r>
              <w:rPr>
                <w:rFonts w:ascii="宋体" w:hAnsi="宋体" w:cs="宋体" w:hint="eastAsia"/>
              </w:rPr>
              <w:t>μmol/L</w:t>
            </w:r>
          </w:p>
        </w:tc>
        <w:tc>
          <w:tcPr>
            <w:tcW w:w="769" w:type="pct"/>
            <w:tcBorders>
              <w:top w:val="single" w:sz="4" w:space="0" w:color="auto"/>
              <w:left w:val="nil"/>
              <w:bottom w:val="nil"/>
              <w:right w:val="nil"/>
            </w:tcBorders>
            <w:vAlign w:val="center"/>
          </w:tcPr>
          <w:p w14:paraId="18BBA22F"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56.00（28/50）</w:t>
            </w:r>
          </w:p>
        </w:tc>
        <w:tc>
          <w:tcPr>
            <w:tcW w:w="830" w:type="pct"/>
            <w:tcBorders>
              <w:top w:val="single" w:sz="4" w:space="0" w:color="auto"/>
              <w:left w:val="nil"/>
              <w:bottom w:val="nil"/>
              <w:right w:val="nil"/>
            </w:tcBorders>
            <w:vAlign w:val="center"/>
          </w:tcPr>
          <w:p w14:paraId="7149AAE8"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91.00（91/100）</w:t>
            </w:r>
          </w:p>
        </w:tc>
        <w:tc>
          <w:tcPr>
            <w:tcW w:w="892" w:type="pct"/>
            <w:tcBorders>
              <w:top w:val="single" w:sz="4" w:space="0" w:color="auto"/>
              <w:left w:val="nil"/>
              <w:bottom w:val="nil"/>
              <w:right w:val="nil"/>
            </w:tcBorders>
            <w:vAlign w:val="center"/>
          </w:tcPr>
          <w:p w14:paraId="322E6B3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79.33（119/150）</w:t>
            </w:r>
          </w:p>
        </w:tc>
      </w:tr>
      <w:tr w:rsidR="00E754DD" w14:paraId="07669BC2" w14:textId="77777777">
        <w:trPr>
          <w:trHeight w:val="325"/>
        </w:trPr>
        <w:tc>
          <w:tcPr>
            <w:tcW w:w="579" w:type="pct"/>
            <w:tcBorders>
              <w:top w:val="nil"/>
              <w:left w:val="nil"/>
              <w:bottom w:val="nil"/>
              <w:right w:val="nil"/>
            </w:tcBorders>
            <w:vAlign w:val="center"/>
          </w:tcPr>
          <w:p w14:paraId="0C0DFFE8" w14:textId="77777777" w:rsidR="00E754DD" w:rsidRDefault="00000000">
            <w:pPr>
              <w:spacing w:line="360" w:lineRule="auto"/>
              <w:jc w:val="center"/>
              <w:rPr>
                <w:rFonts w:ascii="宋体" w:eastAsia="宋体" w:hAnsi="宋体" w:cs="宋体"/>
                <w:color w:val="0000FF"/>
                <w:szCs w:val="21"/>
              </w:rPr>
            </w:pPr>
            <w:r>
              <w:rPr>
                <w:rFonts w:ascii="宋体" w:hAnsi="宋体" w:cs="宋体" w:hint="eastAsia"/>
                <w:color w:val="0000FF"/>
              </w:rPr>
              <w:t>血清</w:t>
            </w:r>
            <w:proofErr w:type="spellStart"/>
            <w:r>
              <w:rPr>
                <w:rFonts w:ascii="宋体" w:hAnsi="宋体" w:cs="宋体" w:hint="eastAsia"/>
                <w:color w:val="0000FF"/>
              </w:rPr>
              <w:t>Hcy</w:t>
            </w:r>
            <w:proofErr w:type="spellEnd"/>
            <w:r>
              <w:rPr>
                <w:rFonts w:ascii="宋体" w:hAnsi="宋体" w:cs="宋体" w:hint="eastAsia"/>
                <w:color w:val="0000FF"/>
              </w:rPr>
              <w:t>水平</w:t>
            </w:r>
          </w:p>
        </w:tc>
        <w:tc>
          <w:tcPr>
            <w:tcW w:w="434" w:type="pct"/>
            <w:tcBorders>
              <w:top w:val="nil"/>
              <w:left w:val="nil"/>
              <w:bottom w:val="nil"/>
              <w:right w:val="nil"/>
            </w:tcBorders>
            <w:vAlign w:val="center"/>
          </w:tcPr>
          <w:p w14:paraId="101F1C1C"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0.866</w:t>
            </w:r>
          </w:p>
        </w:tc>
        <w:tc>
          <w:tcPr>
            <w:tcW w:w="804" w:type="pct"/>
            <w:tcBorders>
              <w:top w:val="nil"/>
              <w:left w:val="nil"/>
              <w:bottom w:val="nil"/>
              <w:right w:val="nil"/>
            </w:tcBorders>
            <w:vAlign w:val="center"/>
          </w:tcPr>
          <w:p w14:paraId="148613D3"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0.815~0.917</w:t>
            </w:r>
          </w:p>
        </w:tc>
        <w:tc>
          <w:tcPr>
            <w:tcW w:w="689" w:type="pct"/>
            <w:tcBorders>
              <w:top w:val="nil"/>
              <w:left w:val="nil"/>
              <w:bottom w:val="nil"/>
              <w:right w:val="nil"/>
            </w:tcBorders>
            <w:vAlign w:val="center"/>
          </w:tcPr>
          <w:p w14:paraId="76B33B39"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7.22ng/L</w:t>
            </w:r>
          </w:p>
        </w:tc>
        <w:tc>
          <w:tcPr>
            <w:tcW w:w="769" w:type="pct"/>
            <w:tcBorders>
              <w:top w:val="nil"/>
              <w:left w:val="nil"/>
              <w:bottom w:val="nil"/>
              <w:right w:val="nil"/>
            </w:tcBorders>
            <w:vAlign w:val="center"/>
          </w:tcPr>
          <w:p w14:paraId="54F3F50A"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66.00（33/50）</w:t>
            </w:r>
          </w:p>
        </w:tc>
        <w:tc>
          <w:tcPr>
            <w:tcW w:w="830" w:type="pct"/>
            <w:tcBorders>
              <w:top w:val="nil"/>
              <w:left w:val="nil"/>
              <w:bottom w:val="nil"/>
              <w:right w:val="nil"/>
            </w:tcBorders>
            <w:vAlign w:val="center"/>
          </w:tcPr>
          <w:p w14:paraId="2E0C59E0"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91.00（91/100）</w:t>
            </w:r>
          </w:p>
        </w:tc>
        <w:tc>
          <w:tcPr>
            <w:tcW w:w="892" w:type="pct"/>
            <w:tcBorders>
              <w:top w:val="nil"/>
              <w:left w:val="nil"/>
              <w:bottom w:val="nil"/>
              <w:right w:val="nil"/>
            </w:tcBorders>
            <w:vAlign w:val="center"/>
          </w:tcPr>
          <w:p w14:paraId="2AE0A6AA"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83.33（125/150）</w:t>
            </w:r>
          </w:p>
        </w:tc>
      </w:tr>
      <w:tr w:rsidR="00E754DD" w14:paraId="76D2796A" w14:textId="77777777">
        <w:trPr>
          <w:trHeight w:val="90"/>
        </w:trPr>
        <w:tc>
          <w:tcPr>
            <w:tcW w:w="579" w:type="pct"/>
            <w:tcBorders>
              <w:top w:val="nil"/>
              <w:left w:val="nil"/>
              <w:bottom w:val="nil"/>
              <w:right w:val="nil"/>
            </w:tcBorders>
            <w:vAlign w:val="center"/>
          </w:tcPr>
          <w:p w14:paraId="06720658"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lastRenderedPageBreak/>
              <w:t>联合诊断</w:t>
            </w:r>
          </w:p>
        </w:tc>
        <w:tc>
          <w:tcPr>
            <w:tcW w:w="434" w:type="pct"/>
            <w:tcBorders>
              <w:top w:val="nil"/>
              <w:left w:val="nil"/>
              <w:bottom w:val="nil"/>
              <w:right w:val="nil"/>
            </w:tcBorders>
            <w:vAlign w:val="center"/>
          </w:tcPr>
          <w:p w14:paraId="5F6A1F88"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0.903</w:t>
            </w:r>
          </w:p>
        </w:tc>
        <w:tc>
          <w:tcPr>
            <w:tcW w:w="804" w:type="pct"/>
            <w:tcBorders>
              <w:top w:val="nil"/>
              <w:left w:val="nil"/>
              <w:bottom w:val="nil"/>
              <w:right w:val="nil"/>
            </w:tcBorders>
            <w:vAlign w:val="center"/>
          </w:tcPr>
          <w:p w14:paraId="05487BC7"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0.852~0.954</w:t>
            </w:r>
          </w:p>
        </w:tc>
        <w:tc>
          <w:tcPr>
            <w:tcW w:w="689" w:type="pct"/>
            <w:tcBorders>
              <w:top w:val="nil"/>
              <w:left w:val="nil"/>
              <w:bottom w:val="nil"/>
              <w:right w:val="nil"/>
            </w:tcBorders>
            <w:vAlign w:val="center"/>
          </w:tcPr>
          <w:p w14:paraId="48C12CD3" w14:textId="77777777" w:rsidR="00E754DD" w:rsidRDefault="00E754DD">
            <w:pPr>
              <w:spacing w:line="360" w:lineRule="auto"/>
              <w:jc w:val="center"/>
              <w:rPr>
                <w:rFonts w:ascii="宋体" w:eastAsia="宋体" w:hAnsi="宋体" w:cs="宋体"/>
                <w:color w:val="0000FF"/>
                <w:szCs w:val="21"/>
              </w:rPr>
            </w:pPr>
          </w:p>
        </w:tc>
        <w:tc>
          <w:tcPr>
            <w:tcW w:w="769" w:type="pct"/>
            <w:tcBorders>
              <w:top w:val="nil"/>
              <w:left w:val="nil"/>
              <w:bottom w:val="nil"/>
              <w:right w:val="nil"/>
            </w:tcBorders>
            <w:vAlign w:val="center"/>
          </w:tcPr>
          <w:p w14:paraId="35E188F3"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88.00（44/50）</w:t>
            </w:r>
          </w:p>
        </w:tc>
        <w:tc>
          <w:tcPr>
            <w:tcW w:w="830" w:type="pct"/>
            <w:tcBorders>
              <w:top w:val="nil"/>
              <w:left w:val="nil"/>
              <w:bottom w:val="nil"/>
              <w:right w:val="nil"/>
            </w:tcBorders>
            <w:vAlign w:val="center"/>
          </w:tcPr>
          <w:p w14:paraId="284F9424"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94.00（94/100）</w:t>
            </w:r>
          </w:p>
        </w:tc>
        <w:tc>
          <w:tcPr>
            <w:tcW w:w="892" w:type="pct"/>
            <w:tcBorders>
              <w:top w:val="nil"/>
              <w:left w:val="nil"/>
              <w:bottom w:val="nil"/>
              <w:right w:val="nil"/>
            </w:tcBorders>
            <w:vAlign w:val="center"/>
          </w:tcPr>
          <w:p w14:paraId="0FF2F5F5"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92.00（138/150）</w:t>
            </w:r>
          </w:p>
        </w:tc>
      </w:tr>
      <w:tr w:rsidR="00E754DD" w14:paraId="29521B2D" w14:textId="77777777">
        <w:trPr>
          <w:trHeight w:val="90"/>
        </w:trPr>
        <w:tc>
          <w:tcPr>
            <w:tcW w:w="579" w:type="pct"/>
            <w:tcBorders>
              <w:top w:val="nil"/>
              <w:left w:val="nil"/>
              <w:bottom w:val="nil"/>
              <w:right w:val="nil"/>
            </w:tcBorders>
            <w:vAlign w:val="center"/>
          </w:tcPr>
          <w:p w14:paraId="0388C74E"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t</w:t>
            </w:r>
            <w:r>
              <w:rPr>
                <w:rFonts w:ascii="宋体" w:eastAsia="宋体" w:hAnsi="宋体" w:cs="宋体" w:hint="eastAsia"/>
                <w:color w:val="0000FF"/>
                <w:szCs w:val="21"/>
                <w:vertAlign w:val="subscript"/>
              </w:rPr>
              <w:t>（AMH水平与</w:t>
            </w:r>
            <w:proofErr w:type="spellStart"/>
            <w:r>
              <w:rPr>
                <w:rFonts w:ascii="宋体" w:eastAsia="宋体" w:hAnsi="宋体" w:cs="宋体" w:hint="eastAsia"/>
                <w:color w:val="0000FF"/>
                <w:szCs w:val="21"/>
                <w:vertAlign w:val="subscript"/>
              </w:rPr>
              <w:t>Hcy</w:t>
            </w:r>
            <w:proofErr w:type="spellEnd"/>
            <w:r>
              <w:rPr>
                <w:rFonts w:ascii="宋体" w:eastAsia="宋体" w:hAnsi="宋体" w:cs="宋体" w:hint="eastAsia"/>
                <w:color w:val="0000FF"/>
                <w:szCs w:val="21"/>
                <w:vertAlign w:val="subscript"/>
              </w:rPr>
              <w:t>水平）</w:t>
            </w:r>
            <w:r>
              <w:rPr>
                <w:rFonts w:ascii="宋体" w:eastAsia="宋体" w:hAnsi="宋体" w:cs="宋体" w:hint="eastAsia"/>
                <w:color w:val="0000FF"/>
                <w:szCs w:val="21"/>
              </w:rPr>
              <w:t>值/P值</w:t>
            </w:r>
          </w:p>
        </w:tc>
        <w:tc>
          <w:tcPr>
            <w:tcW w:w="434" w:type="pct"/>
            <w:tcBorders>
              <w:top w:val="nil"/>
              <w:left w:val="nil"/>
              <w:bottom w:val="nil"/>
              <w:right w:val="nil"/>
            </w:tcBorders>
            <w:vAlign w:val="center"/>
          </w:tcPr>
          <w:p w14:paraId="3152AF1D" w14:textId="77777777" w:rsidR="00E754DD" w:rsidRDefault="00E754DD">
            <w:pPr>
              <w:spacing w:line="360" w:lineRule="auto"/>
              <w:jc w:val="center"/>
              <w:rPr>
                <w:rFonts w:ascii="宋体" w:eastAsia="宋体" w:hAnsi="宋体" w:cs="宋体"/>
                <w:color w:val="0000FF"/>
                <w:szCs w:val="21"/>
              </w:rPr>
            </w:pPr>
          </w:p>
        </w:tc>
        <w:tc>
          <w:tcPr>
            <w:tcW w:w="804" w:type="pct"/>
            <w:tcBorders>
              <w:top w:val="nil"/>
              <w:left w:val="nil"/>
              <w:bottom w:val="nil"/>
              <w:right w:val="nil"/>
            </w:tcBorders>
            <w:vAlign w:val="center"/>
          </w:tcPr>
          <w:p w14:paraId="4C14B2B7" w14:textId="77777777" w:rsidR="00E754DD" w:rsidRDefault="00E754DD">
            <w:pPr>
              <w:spacing w:line="360" w:lineRule="auto"/>
              <w:jc w:val="center"/>
              <w:rPr>
                <w:rFonts w:ascii="宋体" w:eastAsia="宋体" w:hAnsi="宋体" w:cs="宋体"/>
                <w:color w:val="0000FF"/>
                <w:szCs w:val="21"/>
              </w:rPr>
            </w:pPr>
          </w:p>
        </w:tc>
        <w:tc>
          <w:tcPr>
            <w:tcW w:w="689" w:type="pct"/>
            <w:tcBorders>
              <w:top w:val="nil"/>
              <w:left w:val="nil"/>
              <w:bottom w:val="nil"/>
              <w:right w:val="nil"/>
            </w:tcBorders>
            <w:vAlign w:val="center"/>
          </w:tcPr>
          <w:p w14:paraId="511905C0" w14:textId="77777777" w:rsidR="00E754DD" w:rsidRDefault="00E754DD">
            <w:pPr>
              <w:spacing w:line="360" w:lineRule="auto"/>
              <w:jc w:val="center"/>
              <w:rPr>
                <w:rFonts w:ascii="宋体" w:eastAsia="宋体" w:hAnsi="宋体" w:cs="宋体"/>
                <w:color w:val="0000FF"/>
                <w:szCs w:val="21"/>
              </w:rPr>
            </w:pPr>
          </w:p>
        </w:tc>
        <w:tc>
          <w:tcPr>
            <w:tcW w:w="769" w:type="pct"/>
            <w:tcBorders>
              <w:top w:val="nil"/>
              <w:left w:val="nil"/>
              <w:bottom w:val="nil"/>
              <w:right w:val="nil"/>
            </w:tcBorders>
            <w:vAlign w:val="center"/>
          </w:tcPr>
          <w:p w14:paraId="47FE6679"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1.051/0.305</w:t>
            </w:r>
          </w:p>
        </w:tc>
        <w:tc>
          <w:tcPr>
            <w:tcW w:w="830" w:type="pct"/>
            <w:tcBorders>
              <w:top w:val="nil"/>
              <w:left w:val="nil"/>
              <w:bottom w:val="nil"/>
              <w:right w:val="nil"/>
            </w:tcBorders>
            <w:vAlign w:val="center"/>
          </w:tcPr>
          <w:p w14:paraId="05AE13FD"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0.000/1.000</w:t>
            </w:r>
          </w:p>
        </w:tc>
        <w:tc>
          <w:tcPr>
            <w:tcW w:w="892" w:type="pct"/>
            <w:tcBorders>
              <w:top w:val="nil"/>
              <w:left w:val="nil"/>
              <w:bottom w:val="nil"/>
              <w:right w:val="nil"/>
            </w:tcBorders>
            <w:vAlign w:val="center"/>
          </w:tcPr>
          <w:p w14:paraId="02419732"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0.790/0.374</w:t>
            </w:r>
          </w:p>
        </w:tc>
      </w:tr>
      <w:tr w:rsidR="00E754DD" w14:paraId="76A16B80" w14:textId="77777777">
        <w:trPr>
          <w:trHeight w:val="90"/>
        </w:trPr>
        <w:tc>
          <w:tcPr>
            <w:tcW w:w="579" w:type="pct"/>
            <w:tcBorders>
              <w:top w:val="nil"/>
              <w:left w:val="nil"/>
              <w:bottom w:val="nil"/>
              <w:right w:val="nil"/>
            </w:tcBorders>
            <w:vAlign w:val="center"/>
          </w:tcPr>
          <w:p w14:paraId="4DE9682A"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t</w:t>
            </w:r>
            <w:r>
              <w:rPr>
                <w:rFonts w:ascii="宋体" w:eastAsia="宋体" w:hAnsi="宋体" w:cs="宋体" w:hint="eastAsia"/>
                <w:color w:val="0000FF"/>
                <w:szCs w:val="21"/>
                <w:vertAlign w:val="subscript"/>
              </w:rPr>
              <w:t>（AMH水平与联合诊断）</w:t>
            </w:r>
            <w:r>
              <w:rPr>
                <w:rFonts w:ascii="宋体" w:eastAsia="宋体" w:hAnsi="宋体" w:cs="宋体" w:hint="eastAsia"/>
                <w:color w:val="0000FF"/>
                <w:szCs w:val="21"/>
              </w:rPr>
              <w:t>值/P值</w:t>
            </w:r>
          </w:p>
        </w:tc>
        <w:tc>
          <w:tcPr>
            <w:tcW w:w="434" w:type="pct"/>
            <w:tcBorders>
              <w:top w:val="nil"/>
              <w:left w:val="nil"/>
              <w:bottom w:val="nil"/>
              <w:right w:val="nil"/>
            </w:tcBorders>
            <w:vAlign w:val="center"/>
          </w:tcPr>
          <w:p w14:paraId="0E4DE36F" w14:textId="77777777" w:rsidR="00E754DD" w:rsidRDefault="00E754DD">
            <w:pPr>
              <w:spacing w:line="360" w:lineRule="auto"/>
              <w:jc w:val="center"/>
              <w:rPr>
                <w:rFonts w:ascii="宋体" w:eastAsia="宋体" w:hAnsi="宋体" w:cs="宋体"/>
                <w:color w:val="0000FF"/>
                <w:szCs w:val="21"/>
              </w:rPr>
            </w:pPr>
          </w:p>
        </w:tc>
        <w:tc>
          <w:tcPr>
            <w:tcW w:w="804" w:type="pct"/>
            <w:tcBorders>
              <w:top w:val="nil"/>
              <w:left w:val="nil"/>
              <w:bottom w:val="nil"/>
              <w:right w:val="nil"/>
            </w:tcBorders>
            <w:vAlign w:val="center"/>
          </w:tcPr>
          <w:p w14:paraId="5D1ADA6F" w14:textId="77777777" w:rsidR="00E754DD" w:rsidRDefault="00E754DD">
            <w:pPr>
              <w:spacing w:line="360" w:lineRule="auto"/>
              <w:jc w:val="center"/>
              <w:rPr>
                <w:rFonts w:ascii="宋体" w:eastAsia="宋体" w:hAnsi="宋体" w:cs="宋体"/>
                <w:color w:val="0000FF"/>
                <w:szCs w:val="21"/>
              </w:rPr>
            </w:pPr>
          </w:p>
        </w:tc>
        <w:tc>
          <w:tcPr>
            <w:tcW w:w="689" w:type="pct"/>
            <w:tcBorders>
              <w:top w:val="nil"/>
              <w:left w:val="nil"/>
              <w:bottom w:val="nil"/>
              <w:right w:val="nil"/>
            </w:tcBorders>
            <w:vAlign w:val="center"/>
          </w:tcPr>
          <w:p w14:paraId="6A3ACE9B" w14:textId="77777777" w:rsidR="00E754DD" w:rsidRDefault="00E754DD">
            <w:pPr>
              <w:spacing w:line="360" w:lineRule="auto"/>
              <w:jc w:val="center"/>
              <w:rPr>
                <w:rFonts w:ascii="宋体" w:eastAsia="宋体" w:hAnsi="宋体" w:cs="宋体"/>
                <w:color w:val="0000FF"/>
                <w:szCs w:val="21"/>
              </w:rPr>
            </w:pPr>
          </w:p>
        </w:tc>
        <w:tc>
          <w:tcPr>
            <w:tcW w:w="769" w:type="pct"/>
            <w:tcBorders>
              <w:top w:val="nil"/>
              <w:left w:val="nil"/>
              <w:bottom w:val="nil"/>
              <w:right w:val="nil"/>
            </w:tcBorders>
            <w:vAlign w:val="center"/>
          </w:tcPr>
          <w:p w14:paraId="6D14FAEE"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12.869/0.000</w:t>
            </w:r>
          </w:p>
        </w:tc>
        <w:tc>
          <w:tcPr>
            <w:tcW w:w="830" w:type="pct"/>
            <w:tcBorders>
              <w:top w:val="nil"/>
              <w:left w:val="nil"/>
              <w:bottom w:val="nil"/>
              <w:right w:val="nil"/>
            </w:tcBorders>
            <w:vAlign w:val="center"/>
          </w:tcPr>
          <w:p w14:paraId="58EB6882"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0.649/0.421</w:t>
            </w:r>
          </w:p>
        </w:tc>
        <w:tc>
          <w:tcPr>
            <w:tcW w:w="892" w:type="pct"/>
            <w:tcBorders>
              <w:top w:val="nil"/>
              <w:left w:val="nil"/>
              <w:bottom w:val="nil"/>
              <w:right w:val="nil"/>
            </w:tcBorders>
            <w:vAlign w:val="center"/>
          </w:tcPr>
          <w:p w14:paraId="5A151A5E"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9.800/0.002</w:t>
            </w:r>
          </w:p>
        </w:tc>
      </w:tr>
      <w:tr w:rsidR="00E754DD" w14:paraId="7CA8AD08" w14:textId="77777777">
        <w:trPr>
          <w:trHeight w:val="90"/>
        </w:trPr>
        <w:tc>
          <w:tcPr>
            <w:tcW w:w="579" w:type="pct"/>
            <w:tcBorders>
              <w:top w:val="nil"/>
              <w:left w:val="nil"/>
              <w:bottom w:val="single" w:sz="4" w:space="0" w:color="000000"/>
              <w:right w:val="nil"/>
            </w:tcBorders>
            <w:shd w:val="clear" w:color="auto" w:fill="auto"/>
            <w:vAlign w:val="center"/>
          </w:tcPr>
          <w:p w14:paraId="29A60829"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t</w:t>
            </w:r>
            <w:r>
              <w:rPr>
                <w:rFonts w:ascii="宋体" w:eastAsia="宋体" w:hAnsi="宋体" w:cs="宋体" w:hint="eastAsia"/>
                <w:color w:val="0000FF"/>
                <w:szCs w:val="21"/>
                <w:vertAlign w:val="subscript"/>
              </w:rPr>
              <w:t>（</w:t>
            </w:r>
            <w:proofErr w:type="spellStart"/>
            <w:r>
              <w:rPr>
                <w:rFonts w:ascii="宋体" w:eastAsia="宋体" w:hAnsi="宋体" w:cs="宋体" w:hint="eastAsia"/>
                <w:color w:val="0000FF"/>
                <w:szCs w:val="21"/>
                <w:vertAlign w:val="subscript"/>
              </w:rPr>
              <w:t>Hcy</w:t>
            </w:r>
            <w:proofErr w:type="spellEnd"/>
            <w:r>
              <w:rPr>
                <w:rFonts w:ascii="宋体" w:eastAsia="宋体" w:hAnsi="宋体" w:cs="宋体" w:hint="eastAsia"/>
                <w:color w:val="0000FF"/>
                <w:szCs w:val="21"/>
                <w:vertAlign w:val="subscript"/>
              </w:rPr>
              <w:t>水平与联合诊断）</w:t>
            </w:r>
            <w:r>
              <w:rPr>
                <w:rFonts w:ascii="宋体" w:eastAsia="宋体" w:hAnsi="宋体" w:cs="宋体" w:hint="eastAsia"/>
                <w:color w:val="0000FF"/>
                <w:szCs w:val="21"/>
              </w:rPr>
              <w:t>值/P值</w:t>
            </w:r>
          </w:p>
        </w:tc>
        <w:tc>
          <w:tcPr>
            <w:tcW w:w="434" w:type="pct"/>
            <w:tcBorders>
              <w:top w:val="nil"/>
              <w:left w:val="nil"/>
              <w:bottom w:val="single" w:sz="4" w:space="0" w:color="000000"/>
              <w:right w:val="nil"/>
            </w:tcBorders>
            <w:vAlign w:val="center"/>
          </w:tcPr>
          <w:p w14:paraId="6193CDB5" w14:textId="77777777" w:rsidR="00E754DD" w:rsidRDefault="00E754DD">
            <w:pPr>
              <w:spacing w:line="360" w:lineRule="auto"/>
              <w:jc w:val="center"/>
              <w:rPr>
                <w:rFonts w:ascii="宋体" w:eastAsia="宋体" w:hAnsi="宋体" w:cs="宋体"/>
                <w:color w:val="0000FF"/>
                <w:szCs w:val="21"/>
              </w:rPr>
            </w:pPr>
          </w:p>
        </w:tc>
        <w:tc>
          <w:tcPr>
            <w:tcW w:w="804" w:type="pct"/>
            <w:tcBorders>
              <w:top w:val="nil"/>
              <w:left w:val="nil"/>
              <w:bottom w:val="single" w:sz="4" w:space="0" w:color="000000"/>
              <w:right w:val="nil"/>
            </w:tcBorders>
            <w:vAlign w:val="center"/>
          </w:tcPr>
          <w:p w14:paraId="7E477729" w14:textId="77777777" w:rsidR="00E754DD" w:rsidRDefault="00E754DD">
            <w:pPr>
              <w:spacing w:line="360" w:lineRule="auto"/>
              <w:jc w:val="center"/>
              <w:rPr>
                <w:rFonts w:ascii="宋体" w:eastAsia="宋体" w:hAnsi="宋体" w:cs="宋体"/>
                <w:color w:val="0000FF"/>
                <w:szCs w:val="21"/>
              </w:rPr>
            </w:pPr>
          </w:p>
        </w:tc>
        <w:tc>
          <w:tcPr>
            <w:tcW w:w="689" w:type="pct"/>
            <w:tcBorders>
              <w:top w:val="nil"/>
              <w:left w:val="nil"/>
              <w:bottom w:val="single" w:sz="4" w:space="0" w:color="000000"/>
              <w:right w:val="nil"/>
            </w:tcBorders>
            <w:vAlign w:val="center"/>
          </w:tcPr>
          <w:p w14:paraId="16B35B01" w14:textId="77777777" w:rsidR="00E754DD" w:rsidRDefault="00E754DD">
            <w:pPr>
              <w:spacing w:line="360" w:lineRule="auto"/>
              <w:jc w:val="center"/>
              <w:rPr>
                <w:rFonts w:ascii="宋体" w:eastAsia="宋体" w:hAnsi="宋体" w:cs="宋体"/>
                <w:color w:val="0000FF"/>
                <w:szCs w:val="21"/>
              </w:rPr>
            </w:pPr>
          </w:p>
        </w:tc>
        <w:tc>
          <w:tcPr>
            <w:tcW w:w="769" w:type="pct"/>
            <w:tcBorders>
              <w:top w:val="nil"/>
              <w:left w:val="nil"/>
              <w:bottom w:val="single" w:sz="4" w:space="0" w:color="000000"/>
              <w:right w:val="nil"/>
            </w:tcBorders>
            <w:vAlign w:val="center"/>
          </w:tcPr>
          <w:p w14:paraId="79B6F99F"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6.832/0.009</w:t>
            </w:r>
          </w:p>
        </w:tc>
        <w:tc>
          <w:tcPr>
            <w:tcW w:w="830" w:type="pct"/>
            <w:tcBorders>
              <w:top w:val="nil"/>
              <w:left w:val="nil"/>
              <w:bottom w:val="single" w:sz="4" w:space="0" w:color="000000"/>
              <w:right w:val="nil"/>
            </w:tcBorders>
            <w:vAlign w:val="center"/>
          </w:tcPr>
          <w:p w14:paraId="7B9334CE"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0.649/0.421</w:t>
            </w:r>
          </w:p>
        </w:tc>
        <w:tc>
          <w:tcPr>
            <w:tcW w:w="892" w:type="pct"/>
            <w:tcBorders>
              <w:top w:val="nil"/>
              <w:left w:val="nil"/>
              <w:bottom w:val="single" w:sz="4" w:space="0" w:color="000000"/>
              <w:right w:val="nil"/>
            </w:tcBorders>
            <w:vAlign w:val="center"/>
          </w:tcPr>
          <w:p w14:paraId="595DC057" w14:textId="77777777" w:rsidR="00E754DD" w:rsidRDefault="00000000">
            <w:pPr>
              <w:spacing w:line="360" w:lineRule="auto"/>
              <w:jc w:val="center"/>
              <w:rPr>
                <w:rFonts w:ascii="宋体" w:eastAsia="宋体" w:hAnsi="宋体" w:cs="宋体"/>
                <w:color w:val="0000FF"/>
                <w:szCs w:val="21"/>
              </w:rPr>
            </w:pPr>
            <w:r>
              <w:rPr>
                <w:rFonts w:ascii="宋体" w:eastAsia="宋体" w:hAnsi="宋体" w:cs="宋体" w:hint="eastAsia"/>
                <w:color w:val="0000FF"/>
                <w:szCs w:val="21"/>
              </w:rPr>
              <w:t>5.210/0.022</w:t>
            </w:r>
          </w:p>
        </w:tc>
      </w:tr>
    </w:tbl>
    <w:p w14:paraId="6E030D88" w14:textId="77777777" w:rsidR="00E754DD" w:rsidRDefault="00000000">
      <w:pPr>
        <w:pStyle w:val="a3"/>
        <w:spacing w:line="480" w:lineRule="auto"/>
        <w:ind w:firstLineChars="0" w:firstLine="0"/>
        <w:rPr>
          <w:rFonts w:ascii="宋体" w:hAnsi="宋体" w:cs="宋体"/>
          <w:szCs w:val="21"/>
        </w:rPr>
      </w:pPr>
      <w:r>
        <w:rPr>
          <w:rFonts w:ascii="宋体" w:hAnsi="宋体" w:cs="宋体" w:hint="eastAsia"/>
          <w:szCs w:val="21"/>
        </w:rPr>
        <w:t>2.4PCOS不孕患者血清AMH、</w:t>
      </w:r>
      <w:proofErr w:type="spellStart"/>
      <w:r>
        <w:rPr>
          <w:rFonts w:ascii="宋体" w:hAnsi="宋体" w:cs="宋体" w:hint="eastAsia"/>
          <w:szCs w:val="21"/>
        </w:rPr>
        <w:t>Hcy</w:t>
      </w:r>
      <w:proofErr w:type="spellEnd"/>
      <w:r>
        <w:rPr>
          <w:rFonts w:ascii="宋体" w:hAnsi="宋体" w:cs="宋体" w:hint="eastAsia"/>
          <w:szCs w:val="21"/>
        </w:rPr>
        <w:t>水平与治疗后关系</w:t>
      </w:r>
    </w:p>
    <w:p w14:paraId="062AFD8A" w14:textId="77777777" w:rsidR="00E754DD" w:rsidRDefault="00000000">
      <w:pPr>
        <w:widowControl/>
        <w:spacing w:line="480" w:lineRule="auto"/>
        <w:ind w:firstLineChars="200" w:firstLine="420"/>
        <w:rPr>
          <w:rFonts w:ascii="宋体" w:eastAsia="宋体" w:hAnsi="宋体" w:cs="宋体"/>
        </w:rPr>
      </w:pPr>
      <w:r>
        <w:rPr>
          <w:rFonts w:ascii="宋体" w:eastAsia="宋体" w:hAnsi="宋体" w:cs="宋体" w:hint="eastAsia"/>
        </w:rPr>
        <w:t>随访10个月，22例妊娠者、28例未妊娠者，</w:t>
      </w:r>
      <w:proofErr w:type="gramStart"/>
      <w:r>
        <w:rPr>
          <w:rFonts w:ascii="宋体" w:eastAsia="宋体" w:hAnsi="宋体" w:cs="宋体" w:hint="eastAsia"/>
        </w:rPr>
        <w:t>妊娠组</w:t>
      </w:r>
      <w:proofErr w:type="gramEnd"/>
      <w:r>
        <w:rPr>
          <w:rFonts w:ascii="宋体" w:hAnsi="宋体" w:cs="宋体" w:hint="eastAsia"/>
        </w:rPr>
        <w:t>血清AMH、</w:t>
      </w:r>
      <w:proofErr w:type="spellStart"/>
      <w:r>
        <w:rPr>
          <w:rFonts w:ascii="宋体" w:hAnsi="宋体" w:cs="宋体" w:hint="eastAsia"/>
        </w:rPr>
        <w:t>Hcy</w:t>
      </w:r>
      <w:proofErr w:type="spellEnd"/>
      <w:r>
        <w:rPr>
          <w:rFonts w:ascii="宋体" w:hAnsi="宋体" w:cs="宋体" w:hint="eastAsia"/>
        </w:rPr>
        <w:t>水平低于未妊娠组</w:t>
      </w:r>
      <w:r>
        <w:rPr>
          <w:rFonts w:ascii="宋体" w:eastAsia="宋体" w:hAnsi="宋体" w:cs="宋体" w:hint="eastAsia"/>
        </w:rPr>
        <w:t>，P＜0.05</w:t>
      </w:r>
      <w:r>
        <w:rPr>
          <w:rFonts w:ascii="宋体" w:eastAsia="宋体" w:hAnsi="宋体" w:cs="宋体" w:hint="eastAsia"/>
          <w:szCs w:val="21"/>
        </w:rPr>
        <w:t>，</w:t>
      </w:r>
      <w:r>
        <w:rPr>
          <w:rFonts w:ascii="宋体" w:eastAsia="宋体" w:hAnsi="宋体" w:cs="宋体" w:hint="eastAsia"/>
        </w:rPr>
        <w:t>见表5。</w:t>
      </w:r>
    </w:p>
    <w:p w14:paraId="3A4D5699" w14:textId="77777777" w:rsidR="00E754DD" w:rsidRDefault="00000000">
      <w:pPr>
        <w:pStyle w:val="a3"/>
        <w:spacing w:line="480" w:lineRule="auto"/>
        <w:ind w:firstLineChars="0" w:firstLine="0"/>
        <w:jc w:val="center"/>
        <w:rPr>
          <w:rFonts w:ascii="宋体" w:hAnsi="宋体" w:cs="宋体"/>
          <w:szCs w:val="21"/>
        </w:rPr>
      </w:pPr>
      <w:r>
        <w:rPr>
          <w:rFonts w:ascii="宋体" w:hAnsi="宋体" w:cs="宋体" w:hint="eastAsia"/>
          <w:szCs w:val="21"/>
        </w:rPr>
        <w:t>表5</w:t>
      </w:r>
      <w:r>
        <w:rPr>
          <w:rFonts w:ascii="宋体" w:hAnsi="宋体" w:cs="宋体" w:hint="eastAsia"/>
        </w:rPr>
        <w:t>PCOS不孕患者血清AMH、</w:t>
      </w:r>
      <w:proofErr w:type="spellStart"/>
      <w:r>
        <w:rPr>
          <w:rFonts w:ascii="宋体" w:hAnsi="宋体" w:cs="宋体" w:hint="eastAsia"/>
        </w:rPr>
        <w:t>Hcy</w:t>
      </w:r>
      <w:proofErr w:type="spellEnd"/>
      <w:r>
        <w:rPr>
          <w:rFonts w:ascii="宋体" w:hAnsi="宋体" w:cs="宋体" w:hint="eastAsia"/>
        </w:rPr>
        <w:t>水平与治疗后关系</w:t>
      </w:r>
      <w:r>
        <w:rPr>
          <w:rFonts w:ascii="宋体" w:hAnsi="宋体" w:cs="宋体" w:hint="eastAsia"/>
          <w:szCs w:val="21"/>
        </w:rPr>
        <w:t>（</w:t>
      </w:r>
      <w:r>
        <w:rPr>
          <w:rFonts w:ascii="宋体" w:hAnsi="宋体" w:cs="宋体" w:hint="eastAsia"/>
          <w:szCs w:val="21"/>
        </w:rPr>
        <w:sym w:font="Symbol" w:char="0060"/>
      </w:r>
      <w:r>
        <w:rPr>
          <w:rFonts w:ascii="宋体" w:hAnsi="宋体" w:cs="宋体" w:hint="eastAsia"/>
          <w:szCs w:val="21"/>
        </w:rPr>
        <w:t>x±s）</w:t>
      </w:r>
    </w:p>
    <w:tbl>
      <w:tblPr>
        <w:tblStyle w:val="a4"/>
        <w:tblW w:w="4998"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1"/>
        <w:gridCol w:w="480"/>
        <w:gridCol w:w="2748"/>
        <w:gridCol w:w="2990"/>
      </w:tblGrid>
      <w:tr w:rsidR="00E754DD" w14:paraId="2BA66875" w14:textId="77777777">
        <w:tc>
          <w:tcPr>
            <w:tcW w:w="1350" w:type="pct"/>
            <w:tcBorders>
              <w:bottom w:val="single" w:sz="4" w:space="0" w:color="auto"/>
            </w:tcBorders>
            <w:vAlign w:val="center"/>
          </w:tcPr>
          <w:p w14:paraId="43FFFFA7"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组别</w:t>
            </w:r>
          </w:p>
        </w:tc>
        <w:tc>
          <w:tcPr>
            <w:tcW w:w="282" w:type="pct"/>
            <w:tcBorders>
              <w:bottom w:val="single" w:sz="4" w:space="0" w:color="auto"/>
            </w:tcBorders>
            <w:vAlign w:val="center"/>
          </w:tcPr>
          <w:p w14:paraId="4EFF7BDD"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n</w:t>
            </w:r>
          </w:p>
        </w:tc>
        <w:tc>
          <w:tcPr>
            <w:tcW w:w="1612" w:type="pct"/>
            <w:tcBorders>
              <w:bottom w:val="single" w:sz="4" w:space="0" w:color="auto"/>
            </w:tcBorders>
            <w:shd w:val="clear" w:color="auto" w:fill="auto"/>
            <w:vAlign w:val="center"/>
          </w:tcPr>
          <w:p w14:paraId="3A3FB117" w14:textId="77777777" w:rsidR="00E754DD" w:rsidRDefault="00000000">
            <w:pPr>
              <w:spacing w:line="360" w:lineRule="auto"/>
              <w:jc w:val="center"/>
              <w:rPr>
                <w:rFonts w:ascii="宋体" w:eastAsia="宋体" w:hAnsi="宋体" w:cs="宋体"/>
                <w:szCs w:val="21"/>
              </w:rPr>
            </w:pPr>
            <w:r>
              <w:rPr>
                <w:rFonts w:ascii="宋体" w:hAnsi="宋体" w:cs="宋体" w:hint="eastAsia"/>
              </w:rPr>
              <w:t>血清AMH水平（ng/mL）</w:t>
            </w:r>
          </w:p>
        </w:tc>
        <w:tc>
          <w:tcPr>
            <w:tcW w:w="1754" w:type="pct"/>
            <w:tcBorders>
              <w:bottom w:val="single" w:sz="4" w:space="0" w:color="auto"/>
            </w:tcBorders>
            <w:vAlign w:val="center"/>
          </w:tcPr>
          <w:p w14:paraId="38799719" w14:textId="77777777" w:rsidR="00E754DD" w:rsidRDefault="00000000">
            <w:pPr>
              <w:spacing w:line="360" w:lineRule="auto"/>
              <w:jc w:val="center"/>
              <w:rPr>
                <w:rFonts w:ascii="宋体" w:eastAsia="宋体" w:hAnsi="宋体" w:cs="宋体"/>
                <w:szCs w:val="21"/>
              </w:rPr>
            </w:pPr>
            <w:r>
              <w:rPr>
                <w:rFonts w:ascii="宋体" w:hAnsi="宋体" w:cs="宋体" w:hint="eastAsia"/>
              </w:rPr>
              <w:t>血清</w:t>
            </w:r>
            <w:proofErr w:type="spellStart"/>
            <w:r>
              <w:rPr>
                <w:rFonts w:ascii="宋体" w:hAnsi="宋体" w:cs="宋体" w:hint="eastAsia"/>
              </w:rPr>
              <w:t>Hcy</w:t>
            </w:r>
            <w:proofErr w:type="spellEnd"/>
            <w:r>
              <w:rPr>
                <w:rFonts w:ascii="宋体" w:hAnsi="宋体" w:cs="宋体" w:hint="eastAsia"/>
              </w:rPr>
              <w:t>水平（μmol/L）</w:t>
            </w:r>
          </w:p>
        </w:tc>
      </w:tr>
      <w:tr w:rsidR="00E754DD" w14:paraId="74E099CD" w14:textId="77777777">
        <w:tc>
          <w:tcPr>
            <w:tcW w:w="1350" w:type="pct"/>
            <w:tcBorders>
              <w:top w:val="single" w:sz="4" w:space="0" w:color="auto"/>
            </w:tcBorders>
            <w:vAlign w:val="center"/>
          </w:tcPr>
          <w:p w14:paraId="2A022A32" w14:textId="77777777" w:rsidR="00E754DD" w:rsidRDefault="00000000">
            <w:pPr>
              <w:spacing w:line="360" w:lineRule="auto"/>
              <w:jc w:val="center"/>
              <w:rPr>
                <w:rFonts w:ascii="宋体" w:eastAsia="宋体" w:hAnsi="宋体" w:cs="宋体"/>
                <w:szCs w:val="21"/>
              </w:rPr>
            </w:pPr>
            <w:proofErr w:type="gramStart"/>
            <w:r>
              <w:rPr>
                <w:rFonts w:ascii="宋体" w:eastAsia="宋体" w:hAnsi="宋体" w:cs="宋体" w:hint="eastAsia"/>
              </w:rPr>
              <w:t>妊娠组</w:t>
            </w:r>
            <w:proofErr w:type="gramEnd"/>
          </w:p>
        </w:tc>
        <w:tc>
          <w:tcPr>
            <w:tcW w:w="282" w:type="pct"/>
            <w:tcBorders>
              <w:top w:val="single" w:sz="4" w:space="0" w:color="auto"/>
            </w:tcBorders>
            <w:vAlign w:val="center"/>
          </w:tcPr>
          <w:p w14:paraId="301983E7"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22</w:t>
            </w:r>
          </w:p>
        </w:tc>
        <w:tc>
          <w:tcPr>
            <w:tcW w:w="1612" w:type="pct"/>
            <w:tcBorders>
              <w:top w:val="single" w:sz="4" w:space="0" w:color="auto"/>
            </w:tcBorders>
            <w:shd w:val="clear" w:color="auto" w:fill="auto"/>
            <w:vAlign w:val="center"/>
          </w:tcPr>
          <w:p w14:paraId="5DE5F02F"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12.06±1.22</w:t>
            </w:r>
          </w:p>
        </w:tc>
        <w:tc>
          <w:tcPr>
            <w:tcW w:w="1754" w:type="pct"/>
            <w:tcBorders>
              <w:top w:val="single" w:sz="4" w:space="0" w:color="auto"/>
            </w:tcBorders>
            <w:vAlign w:val="center"/>
          </w:tcPr>
          <w:p w14:paraId="593C2EEA"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11.78±1.33</w:t>
            </w:r>
          </w:p>
        </w:tc>
      </w:tr>
      <w:tr w:rsidR="00E754DD" w14:paraId="5E61A8B1" w14:textId="77777777">
        <w:tc>
          <w:tcPr>
            <w:tcW w:w="1350" w:type="pct"/>
            <w:vAlign w:val="center"/>
          </w:tcPr>
          <w:p w14:paraId="677942A9"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未</w:t>
            </w:r>
            <w:proofErr w:type="gramStart"/>
            <w:r>
              <w:rPr>
                <w:rFonts w:ascii="宋体" w:eastAsia="宋体" w:hAnsi="宋体" w:cs="宋体" w:hint="eastAsia"/>
                <w:szCs w:val="21"/>
              </w:rPr>
              <w:t>妊娠组</w:t>
            </w:r>
            <w:proofErr w:type="gramEnd"/>
          </w:p>
        </w:tc>
        <w:tc>
          <w:tcPr>
            <w:tcW w:w="282" w:type="pct"/>
            <w:vAlign w:val="center"/>
          </w:tcPr>
          <w:p w14:paraId="31FF2A88"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28</w:t>
            </w:r>
          </w:p>
        </w:tc>
        <w:tc>
          <w:tcPr>
            <w:tcW w:w="1612" w:type="pct"/>
            <w:shd w:val="clear" w:color="auto" w:fill="auto"/>
            <w:vAlign w:val="center"/>
          </w:tcPr>
          <w:p w14:paraId="250F74C8"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15.13±2.33</w:t>
            </w:r>
          </w:p>
        </w:tc>
        <w:tc>
          <w:tcPr>
            <w:tcW w:w="1754" w:type="pct"/>
            <w:vAlign w:val="center"/>
          </w:tcPr>
          <w:p w14:paraId="5CFFDA2C"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14.13±1.88</w:t>
            </w:r>
          </w:p>
        </w:tc>
      </w:tr>
      <w:tr w:rsidR="00E754DD" w14:paraId="40709043" w14:textId="77777777">
        <w:tc>
          <w:tcPr>
            <w:tcW w:w="1350" w:type="pct"/>
            <w:vAlign w:val="center"/>
          </w:tcPr>
          <w:p w14:paraId="63917EEB"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t</w:t>
            </w:r>
          </w:p>
        </w:tc>
        <w:tc>
          <w:tcPr>
            <w:tcW w:w="282" w:type="pct"/>
            <w:vAlign w:val="center"/>
          </w:tcPr>
          <w:p w14:paraId="5FBED76F"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w:t>
            </w:r>
          </w:p>
        </w:tc>
        <w:tc>
          <w:tcPr>
            <w:tcW w:w="2747" w:type="dxa"/>
            <w:shd w:val="clear" w:color="auto" w:fill="auto"/>
            <w:vAlign w:val="center"/>
          </w:tcPr>
          <w:p w14:paraId="375BA3E7"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6.003</w:t>
            </w:r>
          </w:p>
        </w:tc>
        <w:tc>
          <w:tcPr>
            <w:tcW w:w="2990" w:type="dxa"/>
            <w:vAlign w:val="center"/>
          </w:tcPr>
          <w:p w14:paraId="51ABA1F2"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5.170</w:t>
            </w:r>
          </w:p>
        </w:tc>
      </w:tr>
      <w:tr w:rsidR="00E754DD" w14:paraId="4F825EC7" w14:textId="77777777">
        <w:tc>
          <w:tcPr>
            <w:tcW w:w="1350" w:type="pct"/>
            <w:vAlign w:val="center"/>
          </w:tcPr>
          <w:p w14:paraId="395B41E4"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P</w:t>
            </w:r>
          </w:p>
        </w:tc>
        <w:tc>
          <w:tcPr>
            <w:tcW w:w="282" w:type="pct"/>
            <w:vAlign w:val="center"/>
          </w:tcPr>
          <w:p w14:paraId="7CFBA2B6"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w:t>
            </w:r>
          </w:p>
        </w:tc>
        <w:tc>
          <w:tcPr>
            <w:tcW w:w="2747" w:type="dxa"/>
            <w:shd w:val="clear" w:color="auto" w:fill="auto"/>
            <w:vAlign w:val="center"/>
          </w:tcPr>
          <w:p w14:paraId="5C9E2CFB"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0.000</w:t>
            </w:r>
          </w:p>
        </w:tc>
        <w:tc>
          <w:tcPr>
            <w:tcW w:w="2990" w:type="dxa"/>
            <w:vAlign w:val="center"/>
          </w:tcPr>
          <w:p w14:paraId="3B30859B" w14:textId="77777777" w:rsidR="00E754DD" w:rsidRDefault="00000000">
            <w:pPr>
              <w:spacing w:line="360" w:lineRule="auto"/>
              <w:jc w:val="center"/>
              <w:rPr>
                <w:rFonts w:ascii="宋体" w:eastAsia="宋体" w:hAnsi="宋体" w:cs="宋体"/>
                <w:szCs w:val="21"/>
              </w:rPr>
            </w:pPr>
            <w:r>
              <w:rPr>
                <w:rFonts w:ascii="宋体" w:eastAsia="宋体" w:hAnsi="宋体" w:cs="宋体" w:hint="eastAsia"/>
                <w:szCs w:val="21"/>
              </w:rPr>
              <w:t>0.000</w:t>
            </w:r>
          </w:p>
        </w:tc>
      </w:tr>
    </w:tbl>
    <w:p w14:paraId="577ADF78" w14:textId="77777777" w:rsidR="00E754DD" w:rsidRDefault="00000000">
      <w:pPr>
        <w:widowControl/>
        <w:spacing w:line="480" w:lineRule="auto"/>
        <w:jc w:val="left"/>
        <w:rPr>
          <w:rFonts w:ascii="宋体" w:eastAsia="宋体" w:hAnsi="宋体" w:cs="宋体"/>
          <w:szCs w:val="21"/>
        </w:rPr>
      </w:pPr>
      <w:r>
        <w:rPr>
          <w:rFonts w:ascii="宋体" w:eastAsia="宋体" w:hAnsi="宋体" w:cs="宋体" w:hint="eastAsia"/>
          <w:b/>
          <w:bCs/>
          <w:color w:val="000000" w:themeColor="text1"/>
          <w:szCs w:val="21"/>
        </w:rPr>
        <w:t>3讨论</w:t>
      </w:r>
    </w:p>
    <w:p w14:paraId="1FDBDD01" w14:textId="77777777" w:rsidR="00E754DD" w:rsidRDefault="00000000">
      <w:pPr>
        <w:pStyle w:val="a3"/>
        <w:spacing w:line="480" w:lineRule="auto"/>
        <w:rPr>
          <w:rFonts w:ascii="宋体" w:hAnsi="宋体" w:cs="宋体"/>
        </w:rPr>
      </w:pPr>
      <w:r>
        <w:rPr>
          <w:rFonts w:ascii="宋体" w:hAnsi="宋体" w:cs="宋体" w:hint="eastAsia"/>
        </w:rPr>
        <w:t>本次研究显示，</w:t>
      </w:r>
      <w:r>
        <w:rPr>
          <w:rFonts w:ascii="宋体" w:hAnsi="宋体" w:cs="宋体" w:hint="eastAsia"/>
          <w:color w:val="0000FF"/>
        </w:rPr>
        <w:t>两组患者的血清AMH、</w:t>
      </w:r>
      <w:proofErr w:type="spellStart"/>
      <w:r>
        <w:rPr>
          <w:rFonts w:ascii="宋体" w:hAnsi="宋体" w:cs="宋体" w:hint="eastAsia"/>
          <w:color w:val="0000FF"/>
        </w:rPr>
        <w:t>Hcy</w:t>
      </w:r>
      <w:proofErr w:type="spellEnd"/>
      <w:r>
        <w:rPr>
          <w:rFonts w:ascii="宋体" w:hAnsi="宋体" w:cs="宋体" w:hint="eastAsia"/>
          <w:color w:val="0000FF"/>
        </w:rPr>
        <w:t>水平具有较大差异，P＜0.05；血清AMH水平阳性者37例、阴性者113例，血清</w:t>
      </w:r>
      <w:proofErr w:type="spellStart"/>
      <w:r>
        <w:rPr>
          <w:rFonts w:ascii="宋体" w:hAnsi="宋体" w:cs="宋体" w:hint="eastAsia"/>
          <w:color w:val="0000FF"/>
        </w:rPr>
        <w:t>Hcy</w:t>
      </w:r>
      <w:proofErr w:type="spellEnd"/>
      <w:r>
        <w:rPr>
          <w:rFonts w:ascii="宋体" w:hAnsi="宋体" w:cs="宋体" w:hint="eastAsia"/>
          <w:color w:val="0000FF"/>
        </w:rPr>
        <w:t>水平阳性者41例、阴性者109例，联合诊断阳性者50例、阴性者100例；医生联合诊断患者血清AMH、</w:t>
      </w:r>
      <w:proofErr w:type="spellStart"/>
      <w:r>
        <w:rPr>
          <w:rFonts w:ascii="宋体" w:hAnsi="宋体" w:cs="宋体" w:hint="eastAsia"/>
          <w:color w:val="0000FF"/>
        </w:rPr>
        <w:t>Hcy</w:t>
      </w:r>
      <w:proofErr w:type="spellEnd"/>
      <w:r>
        <w:rPr>
          <w:rFonts w:ascii="宋体" w:hAnsi="宋体" w:cs="宋体" w:hint="eastAsia"/>
          <w:color w:val="0000FF"/>
        </w:rPr>
        <w:t>水平敏感度、准确率高于单一检测，P＜0.05；随访10个月，22例妊娠者、28例未妊娠者，</w:t>
      </w:r>
      <w:proofErr w:type="gramStart"/>
      <w:r>
        <w:rPr>
          <w:rFonts w:ascii="宋体" w:hAnsi="宋体" w:cs="宋体" w:hint="eastAsia"/>
          <w:color w:val="0000FF"/>
        </w:rPr>
        <w:t>妊娠组</w:t>
      </w:r>
      <w:proofErr w:type="gramEnd"/>
      <w:r>
        <w:rPr>
          <w:rFonts w:ascii="宋体" w:hAnsi="宋体" w:cs="宋体" w:hint="eastAsia"/>
          <w:color w:val="0000FF"/>
        </w:rPr>
        <w:t>血清AMH、</w:t>
      </w:r>
      <w:proofErr w:type="spellStart"/>
      <w:r>
        <w:rPr>
          <w:rFonts w:ascii="宋体" w:hAnsi="宋体" w:cs="宋体" w:hint="eastAsia"/>
          <w:color w:val="0000FF"/>
        </w:rPr>
        <w:t>Hcy</w:t>
      </w:r>
      <w:proofErr w:type="spellEnd"/>
      <w:r>
        <w:rPr>
          <w:rFonts w:ascii="宋体" w:hAnsi="宋体" w:cs="宋体" w:hint="eastAsia"/>
          <w:color w:val="0000FF"/>
        </w:rPr>
        <w:t>水平低于未妊娠组，P＜0.05。</w:t>
      </w:r>
      <w:r>
        <w:rPr>
          <w:rFonts w:ascii="宋体" w:hAnsi="宋体" w:cs="宋体" w:hint="eastAsia"/>
        </w:rPr>
        <w:t>究其原因，其一，AMH主要由人体内卵巢的颗粒细胞分泌，可以反映出患</w:t>
      </w:r>
      <w:r>
        <w:rPr>
          <w:rFonts w:ascii="宋体" w:hAnsi="宋体" w:cs="宋体" w:hint="eastAsia"/>
        </w:rPr>
        <w:lastRenderedPageBreak/>
        <w:t>者卵巢内卵泡的数量和质量</w:t>
      </w:r>
      <w:r>
        <w:rPr>
          <w:rFonts w:ascii="宋体" w:hAnsi="宋体" w:cs="宋体" w:hint="eastAsia"/>
          <w:vertAlign w:val="superscript"/>
        </w:rPr>
        <w:t>[4]</w:t>
      </w:r>
      <w:r>
        <w:rPr>
          <w:rFonts w:ascii="宋体" w:hAnsi="宋体" w:cs="宋体" w:hint="eastAsia"/>
        </w:rPr>
        <w:t>。PCOS患者由于卵泡发育障碍，促使其卵巢内存在大量积聚小卵泡的情况，而这些卵泡无法正常成熟和排卵。因此，PCOS患者的AMH水平高于正常女性，而医生则可以通过诊断AMH水平以此确定患者是否患有PCOS</w:t>
      </w:r>
      <w:r>
        <w:rPr>
          <w:rFonts w:ascii="宋体" w:hAnsi="宋体" w:cs="宋体" w:hint="eastAsia"/>
          <w:vertAlign w:val="superscript"/>
        </w:rPr>
        <w:t>[5]</w:t>
      </w:r>
      <w:r>
        <w:rPr>
          <w:rFonts w:ascii="宋体" w:hAnsi="宋体" w:cs="宋体" w:hint="eastAsia"/>
        </w:rPr>
        <w:t>。由于PCOS患者体内的AMH高水平与其病理特征直接相关，意味着医生通过评估患者体内AMH水平，有利于了解患者的卵巢状态，从而提高临床医生的诊断准确率。此外，由于AMH水平可以准确地反映出患者体内卵巢内卵泡的数量和状态。因此，医生通过诊断该水平，从而提高对PCOS患者的诊断准确率</w:t>
      </w:r>
      <w:r>
        <w:rPr>
          <w:rFonts w:ascii="宋体" w:hAnsi="宋体" w:cs="宋体" w:hint="eastAsia"/>
          <w:vertAlign w:val="superscript"/>
        </w:rPr>
        <w:t>[6]</w:t>
      </w:r>
      <w:r>
        <w:rPr>
          <w:rFonts w:ascii="宋体" w:hAnsi="宋体" w:cs="宋体" w:hint="eastAsia"/>
        </w:rPr>
        <w:t>。其二，</w:t>
      </w:r>
      <w:proofErr w:type="spellStart"/>
      <w:r>
        <w:rPr>
          <w:rFonts w:ascii="宋体" w:hAnsi="宋体" w:cs="宋体" w:hint="eastAsia"/>
        </w:rPr>
        <w:t>Hcy</w:t>
      </w:r>
      <w:proofErr w:type="spellEnd"/>
      <w:r>
        <w:rPr>
          <w:rFonts w:ascii="宋体" w:hAnsi="宋体" w:cs="宋体" w:hint="eastAsia"/>
        </w:rPr>
        <w:t>是人体内的一种非蛋白氨基酸，该水平的升高与多种代谢疾病有关，其中包括PCOS。</w:t>
      </w:r>
      <w:proofErr w:type="spellStart"/>
      <w:r>
        <w:rPr>
          <w:rFonts w:ascii="宋体" w:hAnsi="宋体" w:cs="宋体" w:hint="eastAsia"/>
        </w:rPr>
        <w:t>Hcy</w:t>
      </w:r>
      <w:proofErr w:type="spellEnd"/>
      <w:r>
        <w:rPr>
          <w:rFonts w:ascii="宋体" w:hAnsi="宋体" w:cs="宋体" w:hint="eastAsia"/>
        </w:rPr>
        <w:t>水平在PCOS患者中的升高主要与胰岛素抵抗、内皮功能障碍和心血管疾病风险增加等代谢异常有关</w:t>
      </w:r>
      <w:r>
        <w:rPr>
          <w:rFonts w:ascii="宋体" w:hAnsi="宋体" w:cs="宋体" w:hint="eastAsia"/>
          <w:vertAlign w:val="superscript"/>
        </w:rPr>
        <w:t>[7]</w:t>
      </w:r>
      <w:r>
        <w:rPr>
          <w:rFonts w:ascii="宋体" w:hAnsi="宋体" w:cs="宋体" w:hint="eastAsia"/>
        </w:rPr>
        <w:t>。因此，医生可以通过检测患者</w:t>
      </w:r>
      <w:proofErr w:type="spellStart"/>
      <w:r>
        <w:rPr>
          <w:rFonts w:ascii="宋体" w:hAnsi="宋体" w:cs="宋体" w:hint="eastAsia"/>
        </w:rPr>
        <w:t>Hcy</w:t>
      </w:r>
      <w:proofErr w:type="spellEnd"/>
      <w:r>
        <w:rPr>
          <w:rFonts w:ascii="宋体" w:hAnsi="宋体" w:cs="宋体" w:hint="eastAsia"/>
        </w:rPr>
        <w:t>水平以此提高对PCOS患者诊断准确率。其三，PCOS是女性不孕的常见原因之一，临床医生治疗患者的主要目标是恢复体内正常的排卵功能和提高生育能力。有学者的研究结果表明，AMH和</w:t>
      </w:r>
      <w:proofErr w:type="spellStart"/>
      <w:r>
        <w:rPr>
          <w:rFonts w:ascii="宋体" w:hAnsi="宋体" w:cs="宋体" w:hint="eastAsia"/>
        </w:rPr>
        <w:t>Hcy</w:t>
      </w:r>
      <w:proofErr w:type="spellEnd"/>
      <w:r>
        <w:rPr>
          <w:rFonts w:ascii="宋体" w:hAnsi="宋体" w:cs="宋体" w:hint="eastAsia"/>
        </w:rPr>
        <w:t>水平的变化与PCOS患者治疗不孕的结局密切相关</w:t>
      </w:r>
      <w:r>
        <w:rPr>
          <w:rFonts w:ascii="宋体" w:hAnsi="宋体" w:cs="宋体" w:hint="eastAsia"/>
          <w:vertAlign w:val="superscript"/>
        </w:rPr>
        <w:t>[8]</w:t>
      </w:r>
      <w:r>
        <w:rPr>
          <w:rFonts w:ascii="宋体" w:hAnsi="宋体" w:cs="宋体" w:hint="eastAsia"/>
        </w:rPr>
        <w:t>。PCOS患者经过治疗后其体内的卵巢状态得到明显改善，有利于诱导卵巢排卵、减少卵巢内未成熟卵泡的数量。故而，患者由于体内卵巢内卵泡质量的改善和卵巢功能的恢复，导致AMH水平下降。PCOS患者经过治疗后，不仅可以改善患者胰岛素抵抗和代谢状态，还可以减少心血管疾病的风险，有利于降低患者体内</w:t>
      </w:r>
      <w:proofErr w:type="spellStart"/>
      <w:r>
        <w:rPr>
          <w:rFonts w:ascii="宋体" w:hAnsi="宋体" w:cs="宋体" w:hint="eastAsia"/>
        </w:rPr>
        <w:t>Hcy</w:t>
      </w:r>
      <w:proofErr w:type="spellEnd"/>
      <w:r>
        <w:rPr>
          <w:rFonts w:ascii="宋体" w:hAnsi="宋体" w:cs="宋体" w:hint="eastAsia"/>
        </w:rPr>
        <w:t>水平。同时，由于患者体内内皮功能的改善和炎症反应的减轻，降低其对患者卵巢内正常的卵泡发育和排卵的负面影响，从而降低患者的</w:t>
      </w:r>
      <w:proofErr w:type="spellStart"/>
      <w:r>
        <w:rPr>
          <w:rFonts w:ascii="宋体" w:hAnsi="宋体" w:cs="宋体" w:hint="eastAsia"/>
        </w:rPr>
        <w:t>Hcy</w:t>
      </w:r>
      <w:proofErr w:type="spellEnd"/>
      <w:r>
        <w:rPr>
          <w:rFonts w:ascii="宋体" w:hAnsi="宋体" w:cs="宋体" w:hint="eastAsia"/>
        </w:rPr>
        <w:t>水平。</w:t>
      </w:r>
    </w:p>
    <w:p w14:paraId="50BA441B" w14:textId="77777777" w:rsidR="00E754DD" w:rsidRDefault="00000000">
      <w:pPr>
        <w:pStyle w:val="a3"/>
        <w:spacing w:line="480" w:lineRule="auto"/>
        <w:rPr>
          <w:rFonts w:ascii="宋体" w:hAnsi="宋体" w:cs="宋体"/>
        </w:rPr>
      </w:pPr>
      <w:r>
        <w:rPr>
          <w:rFonts w:ascii="宋体" w:hAnsi="宋体" w:cs="宋体" w:hint="eastAsia"/>
        </w:rPr>
        <w:t>综上所述，血清AMH、</w:t>
      </w:r>
      <w:proofErr w:type="spellStart"/>
      <w:r>
        <w:rPr>
          <w:rFonts w:ascii="宋体" w:hAnsi="宋体" w:cs="宋体" w:hint="eastAsia"/>
        </w:rPr>
        <w:t>Hcy</w:t>
      </w:r>
      <w:proofErr w:type="spellEnd"/>
      <w:r>
        <w:rPr>
          <w:rFonts w:ascii="宋体" w:hAnsi="宋体" w:cs="宋体" w:hint="eastAsia"/>
        </w:rPr>
        <w:t>水平诊断PCOS患者敏感度、特异度以及准确率高，且PCOS患者治疗不孕结局后的AMH、</w:t>
      </w:r>
      <w:proofErr w:type="spellStart"/>
      <w:r>
        <w:rPr>
          <w:rFonts w:ascii="宋体" w:hAnsi="宋体" w:cs="宋体" w:hint="eastAsia"/>
        </w:rPr>
        <w:t>Hcy</w:t>
      </w:r>
      <w:proofErr w:type="spellEnd"/>
      <w:r>
        <w:rPr>
          <w:rFonts w:ascii="宋体" w:hAnsi="宋体" w:cs="宋体" w:hint="eastAsia"/>
        </w:rPr>
        <w:t>水平密切相关，值得在临床上推广。</w:t>
      </w:r>
    </w:p>
    <w:p w14:paraId="14D3AA5C" w14:textId="77777777" w:rsidR="00E754DD" w:rsidRDefault="00000000">
      <w:pPr>
        <w:spacing w:line="480" w:lineRule="auto"/>
        <w:rPr>
          <w:rFonts w:ascii="宋体" w:eastAsia="宋体" w:hAnsi="宋体" w:cs="宋体"/>
          <w:szCs w:val="21"/>
        </w:rPr>
      </w:pPr>
      <w:r>
        <w:rPr>
          <w:rFonts w:ascii="宋体" w:eastAsia="宋体" w:hAnsi="宋体" w:cs="宋体" w:hint="eastAsia"/>
          <w:b/>
          <w:bCs/>
          <w:szCs w:val="21"/>
        </w:rPr>
        <w:t>参考文献</w:t>
      </w:r>
    </w:p>
    <w:p w14:paraId="173B4A24" w14:textId="77777777" w:rsidR="00E754DD" w:rsidRDefault="00000000">
      <w:pPr>
        <w:spacing w:line="480" w:lineRule="auto"/>
        <w:rPr>
          <w:rFonts w:ascii="宋体" w:eastAsia="宋体" w:hAnsi="宋体" w:cs="宋体"/>
          <w:szCs w:val="21"/>
        </w:rPr>
      </w:pPr>
      <w:r>
        <w:rPr>
          <w:rFonts w:ascii="宋体" w:eastAsia="宋体" w:hAnsi="宋体" w:cs="宋体" w:hint="eastAsia"/>
          <w:szCs w:val="21"/>
        </w:rPr>
        <w:t>[1]高慧双,王俊文,宁永忠,等.血清AMH、</w:t>
      </w:r>
      <w:proofErr w:type="spellStart"/>
      <w:r>
        <w:rPr>
          <w:rFonts w:ascii="宋体" w:eastAsia="宋体" w:hAnsi="宋体" w:cs="宋体" w:hint="eastAsia"/>
          <w:szCs w:val="21"/>
        </w:rPr>
        <w:t>Hcy</w:t>
      </w:r>
      <w:proofErr w:type="spellEnd"/>
      <w:r>
        <w:rPr>
          <w:rFonts w:ascii="宋体" w:eastAsia="宋体" w:hAnsi="宋体" w:cs="宋体" w:hint="eastAsia"/>
          <w:szCs w:val="21"/>
        </w:rPr>
        <w:t>水平诊断PCOS价值及与不孕治疗结局关系[J].中国计划生育学杂志,2024,32(1):191-194.</w:t>
      </w:r>
    </w:p>
    <w:p w14:paraId="5897FBD4" w14:textId="77777777" w:rsidR="00E754DD" w:rsidRDefault="00000000">
      <w:pPr>
        <w:spacing w:line="480" w:lineRule="auto"/>
        <w:rPr>
          <w:rFonts w:ascii="宋体" w:eastAsia="宋体" w:hAnsi="宋体" w:cs="宋体"/>
          <w:szCs w:val="21"/>
        </w:rPr>
      </w:pPr>
      <w:r>
        <w:rPr>
          <w:rFonts w:ascii="宋体" w:eastAsia="宋体" w:hAnsi="宋体" w:cs="宋体" w:hint="eastAsia"/>
          <w:szCs w:val="21"/>
        </w:rPr>
        <w:lastRenderedPageBreak/>
        <w:t>{2]蒲雪梅,</w:t>
      </w:r>
      <w:proofErr w:type="gramStart"/>
      <w:r>
        <w:rPr>
          <w:rFonts w:ascii="宋体" w:eastAsia="宋体" w:hAnsi="宋体" w:cs="宋体" w:hint="eastAsia"/>
          <w:szCs w:val="21"/>
        </w:rPr>
        <w:t>王娇</w:t>
      </w:r>
      <w:proofErr w:type="gramEnd"/>
      <w:r>
        <w:rPr>
          <w:rFonts w:ascii="宋体" w:eastAsia="宋体" w:hAnsi="宋体" w:cs="宋体" w:hint="eastAsia"/>
          <w:szCs w:val="21"/>
        </w:rPr>
        <w:t>.PCOS不孕患者血清</w:t>
      </w:r>
      <w:proofErr w:type="spellStart"/>
      <w:r>
        <w:rPr>
          <w:rFonts w:ascii="宋体" w:eastAsia="宋体" w:hAnsi="宋体" w:cs="宋体" w:hint="eastAsia"/>
          <w:szCs w:val="21"/>
        </w:rPr>
        <w:t>Hcy</w:t>
      </w:r>
      <w:proofErr w:type="spellEnd"/>
      <w:r>
        <w:rPr>
          <w:rFonts w:ascii="宋体" w:eastAsia="宋体" w:hAnsi="宋体" w:cs="宋体" w:hint="eastAsia"/>
          <w:szCs w:val="21"/>
        </w:rPr>
        <w:t>、AMH水平及与临床指标的相关性和诊断价值[J].中国计划生育学杂志,2024,32(7):1626-16291634.</w:t>
      </w:r>
    </w:p>
    <w:p w14:paraId="59A4C90F" w14:textId="77777777" w:rsidR="00E754DD" w:rsidRDefault="00000000">
      <w:pPr>
        <w:spacing w:line="480" w:lineRule="auto"/>
        <w:rPr>
          <w:rFonts w:ascii="宋体" w:eastAsia="宋体" w:hAnsi="宋体" w:cs="宋体"/>
          <w:szCs w:val="21"/>
        </w:rPr>
      </w:pPr>
      <w:r>
        <w:rPr>
          <w:rFonts w:ascii="宋体" w:eastAsia="宋体" w:hAnsi="宋体" w:cs="宋体" w:hint="eastAsia"/>
          <w:szCs w:val="21"/>
        </w:rPr>
        <w:t>[3]孙莉,梁雪宝,梁程程,等.性激素水平与PCOS不孕患者免疫调节失衡的相关性及对促排卵治疗后排卵结局的预测价值[J].中国性科学,2023,32(12):68-72.</w:t>
      </w:r>
    </w:p>
    <w:p w14:paraId="21C22482" w14:textId="77777777" w:rsidR="00E754DD" w:rsidRDefault="00000000">
      <w:pPr>
        <w:spacing w:line="480" w:lineRule="auto"/>
        <w:rPr>
          <w:rFonts w:ascii="宋体" w:eastAsia="宋体" w:hAnsi="宋体" w:cs="宋体"/>
          <w:szCs w:val="21"/>
        </w:rPr>
      </w:pPr>
      <w:r>
        <w:rPr>
          <w:rFonts w:ascii="宋体" w:eastAsia="宋体" w:hAnsi="宋体" w:cs="宋体" w:hint="eastAsia"/>
          <w:szCs w:val="21"/>
        </w:rPr>
        <w:t>[4]王名岫,黄悦,</w:t>
      </w:r>
      <w:proofErr w:type="gramStart"/>
      <w:r>
        <w:rPr>
          <w:rFonts w:ascii="宋体" w:eastAsia="宋体" w:hAnsi="宋体" w:cs="宋体" w:hint="eastAsia"/>
          <w:szCs w:val="21"/>
        </w:rPr>
        <w:t>崔鲂</w:t>
      </w:r>
      <w:proofErr w:type="gramEnd"/>
      <w:r>
        <w:rPr>
          <w:rFonts w:ascii="宋体" w:eastAsia="宋体" w:hAnsi="宋体" w:cs="宋体" w:hint="eastAsia"/>
          <w:szCs w:val="21"/>
        </w:rPr>
        <w:t>.血清CTRP9、AMH对多囊卵巢综合征患者IVF-ET助孕结局的预测价值[J].中国卫生标准管理,2024,15(9):36-40.</w:t>
      </w:r>
    </w:p>
    <w:p w14:paraId="2FFF63D2" w14:textId="77777777" w:rsidR="00E754DD" w:rsidRDefault="00000000">
      <w:pPr>
        <w:spacing w:line="480" w:lineRule="auto"/>
        <w:rPr>
          <w:rFonts w:ascii="宋体" w:eastAsia="宋体" w:hAnsi="宋体" w:cs="宋体"/>
          <w:szCs w:val="21"/>
        </w:rPr>
      </w:pPr>
      <w:r>
        <w:rPr>
          <w:rFonts w:ascii="宋体" w:eastAsia="宋体" w:hAnsi="宋体" w:cs="宋体" w:hint="eastAsia"/>
          <w:szCs w:val="21"/>
        </w:rPr>
        <w:t>[5]钱素华,徐晓华,仝霞.PCOS不孕患者血浆</w:t>
      </w:r>
      <w:proofErr w:type="spellStart"/>
      <w:r>
        <w:rPr>
          <w:rFonts w:ascii="宋体" w:eastAsia="宋体" w:hAnsi="宋体" w:cs="宋体" w:hint="eastAsia"/>
          <w:szCs w:val="21"/>
        </w:rPr>
        <w:t>Hcy</w:t>
      </w:r>
      <w:proofErr w:type="spellEnd"/>
      <w:r>
        <w:rPr>
          <w:rFonts w:ascii="宋体" w:eastAsia="宋体" w:hAnsi="宋体" w:cs="宋体" w:hint="eastAsia"/>
          <w:szCs w:val="21"/>
        </w:rPr>
        <w:t>、D-D、PAF表达水平与妊娠结局的影响[J].医学检验与临床,2023,34(5):14-17.</w:t>
      </w:r>
    </w:p>
    <w:p w14:paraId="73A54BE6" w14:textId="77777777" w:rsidR="00E754DD" w:rsidRDefault="00000000">
      <w:pPr>
        <w:spacing w:line="480" w:lineRule="auto"/>
        <w:rPr>
          <w:rFonts w:ascii="宋体" w:eastAsia="宋体" w:hAnsi="宋体" w:cs="宋体"/>
          <w:szCs w:val="21"/>
        </w:rPr>
      </w:pPr>
      <w:r>
        <w:rPr>
          <w:rFonts w:ascii="宋体" w:eastAsia="宋体" w:hAnsi="宋体" w:cs="宋体" w:hint="eastAsia"/>
          <w:szCs w:val="21"/>
        </w:rPr>
        <w:t>[6]蔡杰,张玥红,李欢</w:t>
      </w:r>
      <w:proofErr w:type="gramStart"/>
      <w:r>
        <w:rPr>
          <w:rFonts w:ascii="宋体" w:eastAsia="宋体" w:hAnsi="宋体" w:cs="宋体" w:hint="eastAsia"/>
          <w:szCs w:val="21"/>
        </w:rPr>
        <w:t>欢</w:t>
      </w:r>
      <w:proofErr w:type="gramEnd"/>
      <w:r>
        <w:rPr>
          <w:rFonts w:ascii="宋体" w:eastAsia="宋体" w:hAnsi="宋体" w:cs="宋体" w:hint="eastAsia"/>
          <w:szCs w:val="21"/>
        </w:rPr>
        <w:t>.PCOS患者血清核因子-κB、AMH及BMI对IVF-ET妊娠结局影响[J].中国计划生育学杂志,2023,31(12):2972-2976.</w:t>
      </w:r>
    </w:p>
    <w:p w14:paraId="275DA3E0" w14:textId="77777777" w:rsidR="00E754DD" w:rsidRDefault="00000000">
      <w:pPr>
        <w:spacing w:line="480" w:lineRule="auto"/>
        <w:rPr>
          <w:rFonts w:ascii="宋体" w:eastAsia="宋体" w:hAnsi="宋体" w:cs="宋体"/>
          <w:szCs w:val="21"/>
        </w:rPr>
      </w:pPr>
      <w:r>
        <w:rPr>
          <w:rFonts w:ascii="宋体" w:eastAsia="宋体" w:hAnsi="宋体" w:cs="宋体" w:hint="eastAsia"/>
          <w:szCs w:val="21"/>
        </w:rPr>
        <w:t>[7]赵振杰,李德欣,张伟.血清</w:t>
      </w:r>
      <w:proofErr w:type="spellStart"/>
      <w:r>
        <w:rPr>
          <w:rFonts w:ascii="宋体" w:eastAsia="宋体" w:hAnsi="宋体" w:cs="宋体" w:hint="eastAsia"/>
          <w:szCs w:val="21"/>
        </w:rPr>
        <w:t>Hcy</w:t>
      </w:r>
      <w:proofErr w:type="spellEnd"/>
      <w:r>
        <w:rPr>
          <w:rFonts w:ascii="宋体" w:eastAsia="宋体" w:hAnsi="宋体" w:cs="宋体" w:hint="eastAsia"/>
          <w:szCs w:val="21"/>
        </w:rPr>
        <w:t>、FGF-21、CTRP9水平对胰岛素抵抗型PCOS伴先兆流产妊娠结局的影响[J].临床和实验医学杂志,2022,21(13):1397-1400.</w:t>
      </w:r>
    </w:p>
    <w:p w14:paraId="4E64A2D0" w14:textId="77777777" w:rsidR="00E754DD" w:rsidRDefault="00000000">
      <w:pPr>
        <w:spacing w:line="480" w:lineRule="auto"/>
        <w:rPr>
          <w:rFonts w:ascii="宋体" w:eastAsia="宋体" w:hAnsi="宋体" w:cs="宋体"/>
          <w:szCs w:val="21"/>
        </w:rPr>
      </w:pPr>
      <w:r>
        <w:rPr>
          <w:rFonts w:ascii="宋体" w:eastAsia="宋体" w:hAnsi="宋体" w:cs="宋体" w:hint="eastAsia"/>
          <w:szCs w:val="21"/>
        </w:rPr>
        <w:t>[8]江娜,程欣,</w:t>
      </w:r>
      <w:proofErr w:type="gramStart"/>
      <w:r>
        <w:rPr>
          <w:rFonts w:ascii="宋体" w:eastAsia="宋体" w:hAnsi="宋体" w:cs="宋体" w:hint="eastAsia"/>
          <w:szCs w:val="21"/>
        </w:rPr>
        <w:t>王秀虹</w:t>
      </w:r>
      <w:proofErr w:type="gramEnd"/>
      <w:r>
        <w:rPr>
          <w:rFonts w:ascii="宋体" w:eastAsia="宋体" w:hAnsi="宋体" w:cs="宋体" w:hint="eastAsia"/>
          <w:szCs w:val="21"/>
        </w:rPr>
        <w:t>.AMH、LH、T诊断PCOS临床价值及与胰岛素抵抗关系[J].中国计划生育学杂志,2020,28(10):1609-16121723.</w:t>
      </w:r>
    </w:p>
    <w:p w14:paraId="05C6E89F" w14:textId="77777777" w:rsidR="00E754DD" w:rsidRDefault="00E754DD"/>
    <w:sectPr w:rsidR="00E754D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E225B0"/>
    <w:multiLevelType w:val="multilevel"/>
    <w:tmpl w:val="BAE225B0"/>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7FB9BBD8"/>
    <w:multiLevelType w:val="singleLevel"/>
    <w:tmpl w:val="7FB9BBD8"/>
    <w:lvl w:ilvl="0">
      <w:start w:val="1"/>
      <w:numFmt w:val="decimal"/>
      <w:suff w:val="nothing"/>
      <w:lvlText w:val="（%1）"/>
      <w:lvlJc w:val="left"/>
    </w:lvl>
  </w:abstractNum>
  <w:num w:numId="1" w16cid:durableId="1049456963">
    <w:abstractNumId w:val="0"/>
  </w:num>
  <w:num w:numId="2" w16cid:durableId="10136087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c3MmUzMzYxYWFhZGY4YjU0OTJkN2ViMDJhODZjOGUifQ=="/>
  </w:docVars>
  <w:rsids>
    <w:rsidRoot w:val="18153DB7"/>
    <w:rsid w:val="00165A58"/>
    <w:rsid w:val="001F5CD0"/>
    <w:rsid w:val="00384B9C"/>
    <w:rsid w:val="00606B08"/>
    <w:rsid w:val="0070136A"/>
    <w:rsid w:val="00774A52"/>
    <w:rsid w:val="00B87326"/>
    <w:rsid w:val="00C22B37"/>
    <w:rsid w:val="00CB1EB4"/>
    <w:rsid w:val="00DB3F71"/>
    <w:rsid w:val="00E754DD"/>
    <w:rsid w:val="03345AEF"/>
    <w:rsid w:val="03790821"/>
    <w:rsid w:val="06EB743F"/>
    <w:rsid w:val="07461165"/>
    <w:rsid w:val="083E2F6B"/>
    <w:rsid w:val="089E7139"/>
    <w:rsid w:val="09F00295"/>
    <w:rsid w:val="0AEB2D7E"/>
    <w:rsid w:val="0B654DE3"/>
    <w:rsid w:val="0CAD06C0"/>
    <w:rsid w:val="0CCA74C4"/>
    <w:rsid w:val="0D1D52A7"/>
    <w:rsid w:val="11D81D3B"/>
    <w:rsid w:val="12BF5009"/>
    <w:rsid w:val="134F1E6A"/>
    <w:rsid w:val="146D2C0E"/>
    <w:rsid w:val="15C70A44"/>
    <w:rsid w:val="15FA2BC8"/>
    <w:rsid w:val="174D6D27"/>
    <w:rsid w:val="17BB04DA"/>
    <w:rsid w:val="18153DB7"/>
    <w:rsid w:val="18350F0F"/>
    <w:rsid w:val="18D966D2"/>
    <w:rsid w:val="1BD47A17"/>
    <w:rsid w:val="1BF50504"/>
    <w:rsid w:val="1CBB4733"/>
    <w:rsid w:val="1DE32193"/>
    <w:rsid w:val="1EE77A61"/>
    <w:rsid w:val="1F8F4381"/>
    <w:rsid w:val="21E979EB"/>
    <w:rsid w:val="220443B8"/>
    <w:rsid w:val="24AF4B7D"/>
    <w:rsid w:val="26722306"/>
    <w:rsid w:val="276C3820"/>
    <w:rsid w:val="283D1D17"/>
    <w:rsid w:val="28650375"/>
    <w:rsid w:val="2A180013"/>
    <w:rsid w:val="2D83455B"/>
    <w:rsid w:val="2F77273B"/>
    <w:rsid w:val="2FC22E78"/>
    <w:rsid w:val="30A009ED"/>
    <w:rsid w:val="315A2315"/>
    <w:rsid w:val="33FB1B8D"/>
    <w:rsid w:val="343874BB"/>
    <w:rsid w:val="345A2BB6"/>
    <w:rsid w:val="34F34F5A"/>
    <w:rsid w:val="35774A21"/>
    <w:rsid w:val="357F234A"/>
    <w:rsid w:val="36FA25D0"/>
    <w:rsid w:val="388F6D48"/>
    <w:rsid w:val="39377FA7"/>
    <w:rsid w:val="3ACD3B57"/>
    <w:rsid w:val="3B1F05FA"/>
    <w:rsid w:val="3C683B38"/>
    <w:rsid w:val="3E201296"/>
    <w:rsid w:val="41195D48"/>
    <w:rsid w:val="41540B2E"/>
    <w:rsid w:val="41A42C46"/>
    <w:rsid w:val="43B9736F"/>
    <w:rsid w:val="449006E1"/>
    <w:rsid w:val="45EE5B52"/>
    <w:rsid w:val="475E2757"/>
    <w:rsid w:val="476A10AC"/>
    <w:rsid w:val="47E0311C"/>
    <w:rsid w:val="48D52555"/>
    <w:rsid w:val="49FF3D17"/>
    <w:rsid w:val="4A723EF8"/>
    <w:rsid w:val="4B1035EC"/>
    <w:rsid w:val="4B2C6678"/>
    <w:rsid w:val="4DD454D1"/>
    <w:rsid w:val="4E6525CD"/>
    <w:rsid w:val="4F0337D1"/>
    <w:rsid w:val="501047BA"/>
    <w:rsid w:val="57BE4AFC"/>
    <w:rsid w:val="588B70D4"/>
    <w:rsid w:val="58A14BE8"/>
    <w:rsid w:val="596C2A61"/>
    <w:rsid w:val="5A936B03"/>
    <w:rsid w:val="5ACB37B8"/>
    <w:rsid w:val="5B174C4F"/>
    <w:rsid w:val="5BD4669C"/>
    <w:rsid w:val="5C3E7FB9"/>
    <w:rsid w:val="5F830B05"/>
    <w:rsid w:val="5FBC37C2"/>
    <w:rsid w:val="62C233EF"/>
    <w:rsid w:val="64485E79"/>
    <w:rsid w:val="648A46E4"/>
    <w:rsid w:val="64915A72"/>
    <w:rsid w:val="65586590"/>
    <w:rsid w:val="657F117B"/>
    <w:rsid w:val="6808604B"/>
    <w:rsid w:val="68960217"/>
    <w:rsid w:val="68966B6F"/>
    <w:rsid w:val="6A8C5E32"/>
    <w:rsid w:val="6A9944AA"/>
    <w:rsid w:val="6A9C6F1F"/>
    <w:rsid w:val="6BF40694"/>
    <w:rsid w:val="6C000952"/>
    <w:rsid w:val="6D765805"/>
    <w:rsid w:val="6F7C247E"/>
    <w:rsid w:val="70F4378D"/>
    <w:rsid w:val="71BE4255"/>
    <w:rsid w:val="73602E70"/>
    <w:rsid w:val="73CD639B"/>
    <w:rsid w:val="76A3460A"/>
    <w:rsid w:val="7A150154"/>
    <w:rsid w:val="7A432F13"/>
    <w:rsid w:val="7C4C602B"/>
    <w:rsid w:val="7C7B4402"/>
    <w:rsid w:val="7D6E474B"/>
    <w:rsid w:val="7DB54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0D9556"/>
  <w15:docId w15:val="{15A4CBB6-611F-459F-83AB-0ABF6A6AA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ascii="Times New Roman" w:eastAsia="宋体" w:hAnsi="Times New Roman" w:cs="Times New Roman"/>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1786</Words>
  <Characters>2483</Characters>
  <Application>Microsoft Office Word</Application>
  <DocSecurity>0</DocSecurity>
  <Lines>177</Lines>
  <Paragraphs>185</Paragraphs>
  <ScaleCrop>false</ScaleCrop>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楼莜烬。</dc:creator>
  <cp:lastModifiedBy>杨 郭</cp:lastModifiedBy>
  <cp:revision>7</cp:revision>
  <dcterms:created xsi:type="dcterms:W3CDTF">2024-11-11T06:00:00Z</dcterms:created>
  <dcterms:modified xsi:type="dcterms:W3CDTF">2025-04-23T01:36:00Z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2AF696C1852D46E0B6EE3C74068C95E1_11</vt:lpwstr>
  </property>
</Properties>
</file>