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C11C0">
      <w:pPr>
        <w:spacing w:line="240" w:lineRule="auto"/>
        <w:jc w:val="center"/>
        <w:rPr>
          <w:rFonts w:hint="eastAsia"/>
          <w:b w:val="0"/>
          <w:bCs w:val="0"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44"/>
          <w:szCs w:val="44"/>
          <w:lang w:val="en-US" w:eastAsia="zh-CN"/>
        </w:rPr>
        <w:t>百博生物新产品</w:t>
      </w:r>
      <w:r>
        <w:rPr>
          <w:rFonts w:hint="default" w:ascii="Times New Roman" w:hAnsi="Times New Roman" w:cs="Times New Roman"/>
          <w:b w:val="0"/>
          <w:bCs w:val="0"/>
          <w:sz w:val="44"/>
          <w:szCs w:val="44"/>
          <w:lang w:val="en-US" w:eastAsia="zh-CN"/>
        </w:rPr>
        <w:t>——</w:t>
      </w:r>
      <w:r>
        <w:rPr>
          <w:rFonts w:hint="eastAsia"/>
          <w:b w:val="0"/>
          <w:bCs w:val="0"/>
          <w:sz w:val="44"/>
          <w:szCs w:val="44"/>
          <w:lang w:val="en-US" w:eastAsia="zh-CN"/>
        </w:rPr>
        <w:t>全自动染色机</w:t>
      </w:r>
    </w:p>
    <w:p w14:paraId="1E8391F2">
      <w:pPr>
        <w:numPr>
          <w:ilvl w:val="0"/>
          <w:numId w:val="0"/>
        </w:numPr>
        <w:spacing w:before="156" w:beforeLines="50" w:after="156" w:afterLines="50" w:line="240" w:lineRule="auto"/>
        <w:ind w:right="307" w:rightChars="146"/>
        <w:outlineLvl w:val="1"/>
        <w:rPr>
          <w:rFonts w:hint="eastAsia" w:ascii="楷体_GB2312" w:hAnsi="新宋体" w:eastAsia="楷体_GB2312" w:cs="宋体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楷体_GB2312" w:hAnsi="新宋体" w:eastAsia="楷体_GB2312" w:cs="宋体"/>
          <w:b w:val="0"/>
          <w:bCs w:val="0"/>
          <w:color w:val="000000"/>
          <w:kern w:val="0"/>
          <w:sz w:val="30"/>
          <w:szCs w:val="30"/>
          <w:lang w:eastAsia="zh-CN"/>
        </w:rPr>
        <w:t>一、</w:t>
      </w:r>
      <w:r>
        <w:rPr>
          <w:rFonts w:hint="eastAsia" w:ascii="楷体_GB2312" w:hAnsi="新宋体" w:eastAsia="楷体_GB2312" w:cs="宋体"/>
          <w:b w:val="0"/>
          <w:bCs w:val="0"/>
          <w:color w:val="000000"/>
          <w:kern w:val="0"/>
          <w:sz w:val="30"/>
          <w:szCs w:val="30"/>
        </w:rPr>
        <w:t>微生物实验室现状</w:t>
      </w:r>
    </w:p>
    <w:p w14:paraId="501ED89D">
      <w:pPr>
        <w:spacing w:before="156" w:beforeLines="50" w:after="156" w:afterLines="50" w:line="240" w:lineRule="auto"/>
        <w:ind w:right="307" w:rightChars="146" w:firstLine="560" w:firstLineChars="200"/>
        <w:rPr>
          <w:rFonts w:hint="eastAsia" w:ascii="楷体_GB2312" w:hAnsi="新宋体" w:eastAsia="楷体_GB2312" w:cs="宋体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楷体_GB2312" w:hAnsi="新宋体" w:eastAsia="楷体_GB2312" w:cs="宋体"/>
          <w:b w:val="0"/>
          <w:bCs w:val="0"/>
          <w:color w:val="000000"/>
          <w:kern w:val="0"/>
          <w:sz w:val="28"/>
          <w:szCs w:val="28"/>
          <w:lang w:eastAsia="zh-CN"/>
        </w:rPr>
        <w:t xml:space="preserve">在多数病理及临床检验项目中，染色是不可或缺的关键步骤。但传统手工染色操作存在诸多弊端：不同检验科室操作方式各异，导致染色结果缺乏统一性与可比性；手工操作效率低下，难以应对大量样本的检测需求；长时间重复性劳动，增加了医务人员的工作负担，也存在操作误差风险。在此背景下，百博生物隆重推出 </w:t>
      </w:r>
      <w:r>
        <w:rPr>
          <w:rFonts w:hint="eastAsia" w:ascii="楷体_GB2312" w:hAnsi="新宋体" w:eastAsia="楷体_GB2312" w:cs="宋体"/>
          <w:b/>
          <w:bCs/>
          <w:color w:val="000000"/>
          <w:kern w:val="0"/>
          <w:sz w:val="28"/>
          <w:szCs w:val="28"/>
          <w:lang w:eastAsia="zh-CN"/>
        </w:rPr>
        <w:t>ADM-100</w:t>
      </w:r>
      <w:r>
        <w:rPr>
          <w:rFonts w:hint="eastAsia" w:ascii="楷体_GB2312" w:hAnsi="新宋体" w:eastAsia="楷体_GB2312" w:cs="宋体"/>
          <w:b w:val="0"/>
          <w:bCs w:val="0"/>
          <w:color w:val="000000"/>
          <w:kern w:val="0"/>
          <w:sz w:val="28"/>
          <w:szCs w:val="28"/>
          <w:lang w:eastAsia="zh-CN"/>
        </w:rPr>
        <w:t xml:space="preserve"> 双染智控全自动染色机，</w:t>
      </w:r>
      <w:r>
        <w:rPr>
          <w:rFonts w:hint="eastAsia" w:ascii="楷体_GB2312" w:eastAsia="楷体_GB2312"/>
          <w:sz w:val="28"/>
          <w:szCs w:val="28"/>
        </w:rPr>
        <w:t>兼容革兰氏染色和抗酸染色的灵活转换染色模块</w:t>
      </w:r>
      <w:r>
        <w:rPr>
          <w:rFonts w:hint="eastAsia" w:ascii="楷体_GB2312" w:eastAsia="楷体_GB2312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sz w:val="28"/>
          <w:szCs w:val="28"/>
        </w:rPr>
        <w:t>高效率化检测过程</w:t>
      </w:r>
      <w:r>
        <w:rPr>
          <w:rFonts w:hint="eastAsia" w:ascii="楷体_GB2312" w:eastAsia="楷体_GB2312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sz w:val="28"/>
          <w:szCs w:val="28"/>
        </w:rPr>
        <w:t>模拟人工染色流程</w:t>
      </w:r>
      <w:r>
        <w:rPr>
          <w:rFonts w:hint="eastAsia" w:ascii="楷体_GB2312" w:eastAsia="楷体_GB2312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sz w:val="28"/>
          <w:szCs w:val="28"/>
        </w:rPr>
        <w:t>规范染色操作方式</w:t>
      </w:r>
      <w:r>
        <w:rPr>
          <w:rFonts w:hint="eastAsia" w:ascii="楷体_GB2312" w:eastAsia="楷体_GB2312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sz w:val="28"/>
          <w:szCs w:val="28"/>
        </w:rPr>
        <w:t>检测流程标准化、样本处理自动化、结果分析智能化。</w:t>
      </w:r>
      <w:r>
        <w:rPr>
          <w:rFonts w:hint="eastAsia" w:ascii="楷体_GB2312" w:hAnsi="新宋体" w:eastAsia="楷体_GB2312" w:cs="宋体"/>
          <w:b w:val="0"/>
          <w:bCs w:val="0"/>
          <w:color w:val="000000"/>
          <w:kern w:val="0"/>
          <w:sz w:val="28"/>
          <w:szCs w:val="28"/>
          <w:lang w:eastAsia="zh-CN"/>
        </w:rPr>
        <w:t>为微生物实验室带来全新解决方案。</w:t>
      </w:r>
    </w:p>
    <w:p w14:paraId="204215CD">
      <w:pPr>
        <w:numPr>
          <w:ilvl w:val="0"/>
          <w:numId w:val="1"/>
        </w:numPr>
        <w:spacing w:before="156" w:beforeLines="50" w:after="156" w:afterLines="50" w:line="240" w:lineRule="auto"/>
        <w:ind w:right="307" w:rightChars="146"/>
        <w:rPr>
          <w:rFonts w:hint="eastAsia" w:ascii="楷体_GB2312" w:eastAsia="楷体_GB2312"/>
          <w:b w:val="0"/>
          <w:bCs w:val="0"/>
          <w:sz w:val="30"/>
          <w:szCs w:val="30"/>
          <w:lang w:eastAsia="zh-CN"/>
        </w:rPr>
      </w:pPr>
      <w:r>
        <w:rPr>
          <w:rFonts w:hint="eastAsia" w:ascii="楷体_GB2312" w:eastAsia="楷体_GB2312"/>
          <w:b w:val="0"/>
          <w:bCs w:val="0"/>
          <w:sz w:val="30"/>
          <w:szCs w:val="30"/>
          <w:lang w:eastAsia="zh-CN"/>
        </w:rPr>
        <w:t>全自动染色机</w:t>
      </w:r>
    </w:p>
    <w:p w14:paraId="40DA52C5">
      <w:pPr>
        <w:spacing w:before="156" w:after="156" w:line="240" w:lineRule="auto"/>
        <w:ind w:right="307" w:rightChars="146"/>
        <w:outlineLvl w:val="2"/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</w:pPr>
      <w:bookmarkStart w:id="0" w:name="_Toc13977"/>
      <w:r>
        <w:rPr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3476625</wp:posOffset>
            </wp:positionH>
            <wp:positionV relativeFrom="paragraph">
              <wp:posOffset>229235</wp:posOffset>
            </wp:positionV>
            <wp:extent cx="2174875" cy="1718310"/>
            <wp:effectExtent l="0" t="0" r="15875" b="15240"/>
            <wp:wrapSquare wrapText="bothSides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  <w:t>1.模块组成</w:t>
      </w:r>
    </w:p>
    <w:p w14:paraId="0C59C139">
      <w:pPr>
        <w:spacing w:before="156" w:after="156" w:line="240" w:lineRule="auto"/>
        <w:ind w:right="307" w:rightChars="146" w:firstLine="495"/>
        <w:outlineLvl w:val="2"/>
        <w:rPr>
          <w:rFonts w:hint="eastAsia" w:ascii="楷体_GB2312" w:hAnsi="楷体_GB2312" w:eastAsia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/>
          <w:b w:val="0"/>
          <w:bCs w:val="0"/>
          <w:sz w:val="28"/>
          <w:szCs w:val="28"/>
        </w:rPr>
        <w:t>针对痰液、血液、白带分泌物、菌株、尿液、粪便、无菌体液等样本进行染色实验。</w:t>
      </w:r>
      <w:bookmarkEnd w:id="0"/>
      <w:bookmarkStart w:id="1" w:name="_Toc7484"/>
      <w:r>
        <w:rPr>
          <w:rFonts w:hint="eastAsia" w:ascii="楷体_GB2312" w:hAnsi="楷体_GB2312" w:eastAsia="楷体_GB2312"/>
          <w:b w:val="0"/>
          <w:bCs w:val="0"/>
          <w:sz w:val="28"/>
          <w:szCs w:val="28"/>
        </w:rPr>
        <w:t>兼容革兰氏染色法和抗酸染色法的不同染色模块，满足不同项目需求。自动循环进样，自动样本回收，染液精准控制，参数灵活设置，自动染色，</w:t>
      </w: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eastAsia="zh-CN"/>
        </w:rPr>
        <w:t>双管路</w:t>
      </w:r>
      <w:r>
        <w:rPr>
          <w:rFonts w:hint="eastAsia" w:ascii="楷体_GB2312" w:hAnsi="楷体_GB2312" w:eastAsia="楷体_GB2312"/>
          <w:b w:val="0"/>
          <w:bCs w:val="0"/>
          <w:sz w:val="28"/>
          <w:szCs w:val="28"/>
        </w:rPr>
        <w:t>避免</w:t>
      </w: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eastAsia="zh-CN"/>
        </w:rPr>
        <w:t>交叉污染</w:t>
      </w:r>
      <w:r>
        <w:rPr>
          <w:rFonts w:hint="eastAsia" w:ascii="楷体_GB2312" w:hAnsi="楷体_GB2312" w:eastAsia="楷体_GB2312"/>
          <w:b w:val="0"/>
          <w:bCs w:val="0"/>
          <w:sz w:val="28"/>
          <w:szCs w:val="28"/>
        </w:rPr>
        <w:t>。</w:t>
      </w:r>
      <w:bookmarkEnd w:id="1"/>
    </w:p>
    <w:p w14:paraId="6204038B">
      <w:pPr>
        <w:numPr>
          <w:ilvl w:val="0"/>
          <w:numId w:val="2"/>
        </w:numPr>
        <w:spacing w:before="156" w:after="156" w:line="240" w:lineRule="auto"/>
        <w:ind w:right="307" w:rightChars="146"/>
        <w:outlineLvl w:val="2"/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  <w:t>染色效果</w:t>
      </w:r>
    </w:p>
    <w:p w14:paraId="6D05900E">
      <w:pPr>
        <w:numPr>
          <w:ilvl w:val="0"/>
          <w:numId w:val="3"/>
        </w:numPr>
        <w:spacing w:before="156" w:after="156" w:line="240" w:lineRule="auto"/>
        <w:ind w:left="420" w:leftChars="0" w:right="307" w:rightChars="146" w:hanging="420" w:firstLineChars="0"/>
        <w:outlineLvl w:val="2"/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  <w:t>革兰染色</w:t>
      </w:r>
    </w:p>
    <w:p w14:paraId="373BCEA1">
      <w:pPr>
        <w:numPr>
          <w:ilvl w:val="0"/>
          <w:numId w:val="0"/>
        </w:numPr>
        <w:spacing w:before="156" w:after="156" w:line="240" w:lineRule="auto"/>
        <w:ind w:right="307" w:rightChars="146"/>
        <w:jc w:val="center"/>
        <w:outlineLvl w:val="2"/>
      </w:pPr>
      <w:r>
        <w:drawing>
          <wp:inline distT="0" distB="0" distL="114300" distR="114300">
            <wp:extent cx="4829175" cy="2895600"/>
            <wp:effectExtent l="0" t="0" r="9525" b="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EE3E8">
      <w:pPr>
        <w:numPr>
          <w:ilvl w:val="0"/>
          <w:numId w:val="3"/>
        </w:numPr>
        <w:spacing w:before="156" w:after="156" w:line="240" w:lineRule="auto"/>
        <w:ind w:left="420" w:leftChars="0" w:right="307" w:rightChars="146" w:hanging="420" w:firstLineChars="0"/>
        <w:outlineLvl w:val="2"/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  <w:t>抗酸染色（阳红阴蓝）</w:t>
      </w:r>
    </w:p>
    <w:p w14:paraId="48BE494A">
      <w:pPr>
        <w:numPr>
          <w:ilvl w:val="0"/>
          <w:numId w:val="0"/>
        </w:numPr>
        <w:spacing w:before="156" w:after="156" w:line="240" w:lineRule="auto"/>
        <w:ind w:right="307" w:rightChars="146"/>
        <w:jc w:val="center"/>
        <w:outlineLvl w:val="2"/>
        <w:rPr>
          <w:rFonts w:hint="default"/>
          <w:lang w:val="en-US" w:eastAsia="zh-CN"/>
        </w:rPr>
      </w:pPr>
      <w:r>
        <w:drawing>
          <wp:inline distT="0" distB="0" distL="114300" distR="114300">
            <wp:extent cx="2849245" cy="2026920"/>
            <wp:effectExtent l="12700" t="12700" r="14605" b="1778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rcRect l="922" t="2133" r="642"/>
                    <a:stretch>
                      <a:fillRect/>
                    </a:stretch>
                  </pic:blipFill>
                  <pic:spPr>
                    <a:xfrm>
                      <a:off x="0" y="0"/>
                      <a:ext cx="2849245" cy="2026920"/>
                    </a:xfrm>
                    <a:prstGeom prst="rect">
                      <a:avLst/>
                    </a:prstGeom>
                    <a:noFill/>
                    <a:ln w="12700" cap="flat" cmpd="sng">
                      <a:solidFill>
                        <a:srgbClr val="4F81BD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 w14:paraId="37391939">
      <w:pPr>
        <w:spacing w:before="156" w:after="156" w:line="240" w:lineRule="auto"/>
        <w:ind w:right="307" w:rightChars="146" w:firstLine="495"/>
        <w:outlineLvl w:val="2"/>
        <w:rPr>
          <w:rFonts w:hint="default" w:ascii="楷体_GB2312" w:hAnsi="楷体_GB2312" w:eastAsia="楷体_GB2312"/>
          <w:b w:val="0"/>
          <w:bCs w:val="0"/>
          <w:sz w:val="28"/>
          <w:szCs w:val="28"/>
          <w:lang w:val="en-US" w:eastAsia="zh-CN"/>
        </w:rPr>
      </w:pPr>
    </w:p>
    <w:p w14:paraId="4198B6E1">
      <w:pPr>
        <w:numPr>
          <w:ilvl w:val="0"/>
          <w:numId w:val="0"/>
        </w:numPr>
        <w:spacing w:before="156" w:after="156" w:line="240" w:lineRule="auto"/>
        <w:ind w:right="307" w:rightChars="146"/>
        <w:outlineLvl w:val="2"/>
        <w:rPr>
          <w:rFonts w:hint="eastAsia" w:ascii="楷体_GB2312" w:hAnsi="楷体_GB2312" w:eastAsia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  <w:t>3.产品优点</w:t>
      </w:r>
    </w:p>
    <w:p w14:paraId="4619B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307" w:rightChars="146" w:firstLine="560" w:firstLineChars="200"/>
        <w:textAlignment w:val="auto"/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</w:pP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  <w:t>全自动染色</w:t>
      </w:r>
      <w:bookmarkStart w:id="2" w:name="_GoBack"/>
      <w:bookmarkEnd w:id="2"/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val="en-US" w:eastAsia="zh-CN"/>
        </w:rPr>
        <w:t>机ADM-100</w:t>
      </w:r>
      <w:r>
        <w:rPr>
          <w:rFonts w:hint="eastAsia" w:ascii="楷体_GB2312" w:eastAsia="楷体_GB2312"/>
          <w:b w:val="0"/>
          <w:bCs w:val="0"/>
          <w:sz w:val="28"/>
          <w:szCs w:val="28"/>
        </w:rPr>
        <w:t>兼容革兰氏染色和抗酸染色的灵活转换染色模块</w:t>
      </w:r>
      <w:r>
        <w:rPr>
          <w:rFonts w:hint="eastAsia" w:ascii="楷体_GB2312" w:eastAsia="楷体_GB2312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b w:val="0"/>
          <w:bCs w:val="0"/>
          <w:sz w:val="28"/>
          <w:szCs w:val="28"/>
        </w:rPr>
        <w:t>高效率化检测过程</w:t>
      </w:r>
      <w:r>
        <w:rPr>
          <w:rFonts w:hint="eastAsia" w:ascii="楷体_GB2312" w:eastAsia="楷体_GB2312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b w:val="0"/>
          <w:bCs w:val="0"/>
          <w:sz w:val="28"/>
          <w:szCs w:val="28"/>
        </w:rPr>
        <w:t>模拟人工染色流程</w:t>
      </w:r>
      <w:r>
        <w:rPr>
          <w:rFonts w:hint="eastAsia" w:ascii="楷体_GB2312" w:eastAsia="楷体_GB2312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b w:val="0"/>
          <w:bCs w:val="0"/>
          <w:sz w:val="28"/>
          <w:szCs w:val="28"/>
        </w:rPr>
        <w:t>规范染色操作方式</w:t>
      </w:r>
      <w:r>
        <w:rPr>
          <w:rFonts w:hint="eastAsia" w:ascii="楷体_GB2312" w:eastAsia="楷体_GB2312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楷体_GB2312" w:eastAsia="楷体_GB2312"/>
          <w:b w:val="0"/>
          <w:bCs w:val="0"/>
          <w:sz w:val="28"/>
          <w:szCs w:val="28"/>
        </w:rPr>
        <w:t>检测流程标准化、样本处理自动化、结果分析智能化。</w:t>
      </w:r>
    </w:p>
    <w:p w14:paraId="6D0F391E">
      <w:pPr>
        <w:numPr>
          <w:ilvl w:val="0"/>
          <w:numId w:val="4"/>
        </w:numPr>
        <w:spacing w:line="240" w:lineRule="auto"/>
        <w:ind w:left="420" w:leftChars="0" w:right="307" w:rightChars="146" w:hanging="420" w:firstLineChars="0"/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</w:pPr>
      <w:r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  <w:t>自动化程度高：代替传统的手工操作，整个流程无需人工介入，提高了微生物实验室的工作效率。将医务人员从繁重的体力劳动中解脱出来，从而有时间处理其他重要事宜。</w:t>
      </w:r>
    </w:p>
    <w:p w14:paraId="2492EC62">
      <w:pPr>
        <w:numPr>
          <w:ilvl w:val="0"/>
          <w:numId w:val="4"/>
        </w:numPr>
        <w:spacing w:before="156" w:after="156" w:line="240" w:lineRule="auto"/>
        <w:ind w:left="420" w:leftChars="0" w:right="307" w:rightChars="146" w:hanging="420" w:firstLineChars="0"/>
        <w:rPr>
          <w:rFonts w:hint="eastAsia" w:ascii="楷体_GB2312" w:hAnsi="楷体_GB2312" w:eastAsia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/>
          <w:b w:val="0"/>
          <w:bCs w:val="0"/>
          <w:sz w:val="28"/>
          <w:szCs w:val="28"/>
        </w:rPr>
        <w:t>独有的一键式操作技术</w:t>
      </w:r>
      <w:r>
        <w:rPr>
          <w:rFonts w:hint="eastAsia" w:ascii="楷体_GB2312" w:hAnsi="楷体_GB2312" w:eastAsia="楷体_GB2312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楷体_GB2312" w:hAnsi="楷体_GB2312" w:eastAsia="楷体_GB2312" w:cs="Times New Roman"/>
          <w:b w:val="0"/>
          <w:bCs w:val="0"/>
          <w:color w:val="000000"/>
          <w:sz w:val="28"/>
          <w:szCs w:val="28"/>
          <w:lang w:val="en-US" w:eastAsia="zh-CN"/>
        </w:rPr>
        <w:t>载玻片</w:t>
      </w:r>
      <w:r>
        <w:rPr>
          <w:rFonts w:hint="eastAsia" w:ascii="楷体_GB2312" w:hAnsi="楷体_GB2312" w:eastAsia="楷体_GB2312" w:cs="Times New Roman"/>
          <w:b w:val="0"/>
          <w:bCs w:val="0"/>
          <w:color w:val="000000"/>
          <w:sz w:val="28"/>
          <w:szCs w:val="28"/>
        </w:rPr>
        <w:t>放置</w:t>
      </w:r>
      <w:r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  <w:t>到设备内部后，仅需点击启动按钮，整个流程就开始全自动处理。</w:t>
      </w:r>
    </w:p>
    <w:p w14:paraId="16BAF290">
      <w:pPr>
        <w:numPr>
          <w:ilvl w:val="0"/>
          <w:numId w:val="4"/>
        </w:numPr>
        <w:spacing w:line="240" w:lineRule="auto"/>
        <w:ind w:left="420" w:leftChars="0" w:right="307" w:rightChars="146" w:hanging="420" w:firstLineChars="0"/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</w:pPr>
      <w:r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  <w:t>染色模式</w:t>
      </w:r>
      <w:r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  <w:t>注液滴染模式/浸染模式</w:t>
      </w:r>
    </w:p>
    <w:p w14:paraId="7A32622C">
      <w:pPr>
        <w:numPr>
          <w:ilvl w:val="0"/>
          <w:numId w:val="4"/>
        </w:numPr>
        <w:spacing w:line="240" w:lineRule="auto"/>
        <w:ind w:left="420" w:leftChars="0" w:right="307" w:rightChars="146" w:hanging="420" w:firstLineChars="0"/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</w:pPr>
      <w:r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</w:rPr>
        <w:t>无菌环境：管路自动清洗，染液管路独立无交叉污染风险</w:t>
      </w:r>
    </w:p>
    <w:p w14:paraId="59B6ABAD">
      <w:pPr>
        <w:numPr>
          <w:ilvl w:val="0"/>
          <w:numId w:val="4"/>
        </w:numPr>
        <w:spacing w:line="240" w:lineRule="auto"/>
        <w:ind w:left="420" w:leftChars="0" w:right="307" w:rightChars="146" w:hanging="420" w:firstLineChars="0"/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Times New Roman"/>
          <w:b w:val="0"/>
          <w:bCs w:val="0"/>
          <w:color w:val="000000"/>
          <w:sz w:val="28"/>
          <w:szCs w:val="28"/>
          <w:lang w:val="en-US" w:eastAsia="zh-CN"/>
        </w:rPr>
        <w:t>安全措施：</w:t>
      </w:r>
      <w:r>
        <w:rPr>
          <w:rFonts w:hint="eastAsia" w:ascii="楷体_GB2312" w:hAnsi="楷体_GB2312" w:eastAsia="楷体_GB2312"/>
          <w:b w:val="0"/>
          <w:bCs w:val="0"/>
          <w:color w:val="000000"/>
          <w:sz w:val="28"/>
          <w:szCs w:val="28"/>
          <w:lang w:val="en-US" w:eastAsia="zh-CN"/>
        </w:rPr>
        <w:t>染色流程与样本加载单元完全隔离无安全隐患</w:t>
      </w:r>
    </w:p>
    <w:p w14:paraId="4FF91EBC">
      <w:pPr>
        <w:numPr>
          <w:ilvl w:val="0"/>
          <w:numId w:val="4"/>
        </w:numPr>
        <w:spacing w:line="240" w:lineRule="auto"/>
        <w:ind w:left="420" w:leftChars="0" w:right="307" w:rightChars="146" w:hanging="420" w:firstLineChars="0"/>
        <w:rPr>
          <w:rFonts w:hint="eastAsia" w:ascii="楷体_GB2312" w:hAnsi="楷体_GB2312" w:eastAsia="楷体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Times New Roman"/>
          <w:b w:val="0"/>
          <w:bCs w:val="0"/>
          <w:color w:val="000000"/>
          <w:sz w:val="28"/>
          <w:szCs w:val="28"/>
          <w:lang w:val="en-US" w:eastAsia="zh-CN"/>
        </w:rPr>
        <w:t>全程实时监控：10寸触屏操作，实时监控染色流程</w:t>
      </w:r>
    </w:p>
    <w:p w14:paraId="1ADE7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百博生物 ADM-100 双染智控全自动染色机，以先进技术与卓越性能，为微生物实验室打造高效、精准、安全的检测新体验。无论是大型三甲医院，还是基层检验机构，它都将成为提升检测水平、推动医学发展的得力助手。选择 ADM-100，选择微生物检测新未来！</w:t>
      </w:r>
    </w:p>
    <w:p w14:paraId="09411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400-6760-599。</w:t>
      </w:r>
    </w:p>
    <w:p w14:paraId="06A526EB">
      <w:pP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562389CD">
      <w:pPr>
        <w:numPr>
          <w:ilvl w:val="0"/>
          <w:numId w:val="0"/>
        </w:numPr>
        <w:spacing w:line="240" w:lineRule="auto"/>
        <w:ind w:leftChars="0" w:right="307" w:rightChars="146"/>
        <w:rPr>
          <w:rFonts w:hint="eastAsia" w:ascii="楷体_GB2312" w:hAnsi="楷体_GB2312" w:eastAsia="楷体_GB2312" w:cs="Times New Roman"/>
          <w:b w:val="0"/>
          <w:bCs w:val="0"/>
          <w:color w:val="000000"/>
          <w:sz w:val="28"/>
          <w:szCs w:val="28"/>
          <w:lang w:val="en-US" w:eastAsia="zh-CN"/>
        </w:rPr>
      </w:pPr>
    </w:p>
    <w:p w14:paraId="5F7ACEF2">
      <w:pPr>
        <w:numPr>
          <w:ilvl w:val="0"/>
          <w:numId w:val="0"/>
        </w:numPr>
        <w:spacing w:before="156" w:beforeLines="50" w:after="156" w:afterLines="50" w:line="240" w:lineRule="auto"/>
        <w:ind w:right="307" w:rightChars="146"/>
        <w:rPr>
          <w:rFonts w:hint="eastAsia" w:ascii="楷体_GB2312" w:eastAsia="楷体_GB2312"/>
          <w:b w:val="0"/>
          <w:bCs w:val="0"/>
          <w:sz w:val="28"/>
          <w:szCs w:val="28"/>
          <w:lang w:eastAsia="zh-CN"/>
        </w:rPr>
      </w:pPr>
    </w:p>
    <w:p w14:paraId="2561B83A">
      <w:pPr>
        <w:spacing w:before="156" w:beforeLines="50" w:after="156" w:afterLines="50" w:line="240" w:lineRule="auto"/>
        <w:ind w:right="307" w:rightChars="146" w:firstLine="560" w:firstLineChars="200"/>
        <w:rPr>
          <w:rFonts w:hint="eastAsia" w:ascii="楷体_GB2312" w:eastAsia="楷体_GB2312"/>
          <w:b w:val="0"/>
          <w:bCs w:val="0"/>
          <w:sz w:val="28"/>
          <w:szCs w:val="28"/>
        </w:rPr>
      </w:pPr>
    </w:p>
    <w:p w14:paraId="65B561A9">
      <w:pPr>
        <w:spacing w:line="240" w:lineRule="auto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B676FC"/>
    <w:multiLevelType w:val="singleLevel"/>
    <w:tmpl w:val="B7B676F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87AE0C4"/>
    <w:multiLevelType w:val="singleLevel"/>
    <w:tmpl w:val="187AE0C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29E87D55"/>
    <w:multiLevelType w:val="singleLevel"/>
    <w:tmpl w:val="29E87D5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CFE662F"/>
    <w:multiLevelType w:val="singleLevel"/>
    <w:tmpl w:val="5CFE662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518C8"/>
    <w:rsid w:val="2714552C"/>
    <w:rsid w:val="446E018A"/>
    <w:rsid w:val="4C82688E"/>
    <w:rsid w:val="4F16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816</Words>
  <Characters>855</Characters>
  <Lines>0</Lines>
  <Paragraphs>0</Paragraphs>
  <TotalTime>5</TotalTime>
  <ScaleCrop>false</ScaleCrop>
  <LinksUpToDate>false</LinksUpToDate>
  <CharactersWithSpaces>862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2025-05-26T01:11:00Z</dcterms:created>
  <dc:creator>BAIBO</dc:creator>
  <cp:lastModifiedBy>Tenryde鸣人</cp:lastModifiedBy>
  <dcterms:modified xsi:type="dcterms:W3CDTF">2025-05-27T07:36:00Z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eyJoZGlkIjoiZjRjZGRiYTA0YTk4Y2M1ZGQ4YzA4YjY3MTNkODRlYmQiLCJ1c2VySWQiOiIyMTExNTg1MCJ9</vt:lpwstr>
  </property>
  <property fmtid="{D5CDD505-2E9C-101B-9397-08002B2CF9AE}" pid="4" name="ICV">
    <vt:lpwstr>553E76D116BF499ABDE9C847BE415846_12</vt:lpwstr>
  </property>
</Properties>
</file>