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29"/>
      </w:pPr>
      <w:r>
        <w:rPr/>
        <w:t>关于大型商业综合体防火设计的要点解析</w:t>
      </w:r>
    </w:p>
    <w:p>
      <w:pPr>
        <w:pStyle w:val="BodyText"/>
        <w:spacing w:before="72"/>
      </w:pPr>
      <w:r>
        <w:rPr/>
        <w:t>——摘要</w:t>
      </w:r>
    </w:p>
    <w:p>
      <w:pPr>
        <w:pStyle w:val="BodyText"/>
        <w:spacing w:before="70"/>
      </w:pPr>
      <w:r>
        <w:rPr/>
        <w:t>商场疏散宽度计算：</w:t>
      </w:r>
    </w:p>
    <w:p>
      <w:pPr>
        <w:pStyle w:val="BodyText"/>
        <w:spacing w:line="283" w:lineRule="auto" w:before="71"/>
        <w:ind w:right="332"/>
      </w:pPr>
      <w:r>
        <w:rPr/>
        <w:t>经计算,每 100 平方米需要疏散宽度分别为：地下二层0。42~0。56m,地下一层 0.45m，地上一、二层 0。28m ，地上三层 0。29m ，地上四层及以上 0。3m 。</w:t>
      </w:r>
    </w:p>
    <w:p>
      <w:pPr>
        <w:pStyle w:val="BodyText"/>
        <w:spacing w:line="283" w:lineRule="auto"/>
        <w:ind w:right="224"/>
      </w:pPr>
      <w:r>
        <w:rPr>
          <w:spacing w:val="-13"/>
        </w:rPr>
        <w:t>需要注意的是,上述“营业厅建筑面积"包括营业厅内展示货架、柜台、走道等顾客参与购物 </w:t>
      </w:r>
      <w:r>
        <w:rPr>
          <w:spacing w:val="-14"/>
        </w:rPr>
        <w:t>的场所，以及营业厅内的卫生间、楼梯间、自动扶梯等的建筑面积。对于采用防火分隔措施</w:t>
      </w:r>
      <w:r>
        <w:rPr>
          <w:spacing w:val="-9"/>
        </w:rPr>
        <w:t>分隔开且疏散时无需进入营业厅内的仓储、设备房、工具间、办公室等可不计入该建筑面积 内。</w:t>
      </w:r>
    </w:p>
    <w:p>
      <w:pPr>
        <w:pStyle w:val="BodyText"/>
        <w:spacing w:line="394" w:lineRule="exact"/>
      </w:pPr>
      <w:r>
        <w:rPr/>
        <w:t>商场内的通道宽度：</w:t>
      </w:r>
    </w:p>
    <w:p>
      <w:pPr>
        <w:pStyle w:val="BodyText"/>
        <w:spacing w:line="283" w:lineRule="auto" w:before="70"/>
        <w:ind w:right="114"/>
      </w:pPr>
      <w:r>
        <w:rPr>
          <w:spacing w:val="-12"/>
        </w:rPr>
        <w:t>《上海规》规定营业厅内通道面积不宜小于营业厅面积的</w:t>
      </w:r>
      <w:r>
        <w:rPr>
          <w:spacing w:val="-20"/>
        </w:rPr>
        <w:t>30</w:t>
      </w:r>
      <w:r>
        <w:rPr>
          <w:spacing w:val="-7"/>
        </w:rPr>
        <w:t>％.营业厅内的走道宽宜为 </w:t>
      </w:r>
      <w:r>
        <w:rPr/>
        <w:t>2~4m</w:t>
      </w:r>
      <w:r>
        <w:rPr>
          <w:spacing w:val="38"/>
        </w:rPr>
        <w:t> ， </w:t>
      </w:r>
      <w:r>
        <w:rPr/>
        <w:t>主要疏散走道应直通安全出口，并符合《商规</w:t>
      </w:r>
      <w:r>
        <w:rPr>
          <w:spacing w:val="-39"/>
        </w:rPr>
        <w:t>》、《密管》的规定.</w:t>
      </w:r>
    </w:p>
    <w:p>
      <w:pPr>
        <w:pStyle w:val="BodyText"/>
        <w:spacing w:line="397" w:lineRule="exact"/>
      </w:pPr>
      <w:r>
        <w:rPr/>
        <w:t>屋顶避难空间：</w:t>
      </w:r>
    </w:p>
    <w:p>
      <w:pPr>
        <w:pStyle w:val="BodyText"/>
        <w:spacing w:line="283" w:lineRule="auto" w:before="70"/>
        <w:ind w:right="410"/>
      </w:pPr>
      <w:r>
        <w:rPr>
          <w:spacing w:val="-16"/>
        </w:rPr>
        <w:t>《商规》规定大型百货商店、商场建筑物的营业层在五层以上时，宜设置直通屋顶平台的疏</w:t>
      </w:r>
      <w:r>
        <w:rPr>
          <w:spacing w:val="-8"/>
        </w:rPr>
        <w:t>散楼梯间不少于 </w:t>
      </w:r>
      <w:r>
        <w:rPr/>
        <w:t>2</w:t>
      </w:r>
      <w:r>
        <w:rPr>
          <w:spacing w:val="-11"/>
        </w:rPr>
        <w:t> 座,屋顶平台上无碍物的避难面积不宜小于最大营业层建筑面积的</w:t>
      </w:r>
      <w:r>
        <w:rPr/>
        <w:t>50%</w:t>
      </w:r>
    </w:p>
    <w:p>
      <w:pPr>
        <w:pStyle w:val="BodyText"/>
        <w:spacing w:line="283" w:lineRule="auto"/>
        <w:ind w:right="372"/>
      </w:pPr>
      <w:r>
        <w:rPr>
          <w:spacing w:val="-14"/>
        </w:rPr>
        <w:t>设备房、非机动车库及相关后勤有房房间门至最近楼梯间的疏散距离满足位于两个安全出口</w:t>
      </w:r>
      <w:r>
        <w:rPr>
          <w:spacing w:val="-2"/>
        </w:rPr>
        <w:t>之间的房间〈</w:t>
      </w:r>
      <w:r>
        <w:rPr/>
        <w:t>40</w:t>
      </w:r>
      <w:r>
        <w:rPr>
          <w:spacing w:val="-10"/>
        </w:rPr>
        <w:t> 米，位于带形走道两侧活锦缎的房间</w:t>
      </w:r>
      <w:r>
        <w:rPr/>
        <w:t>&lt;20</w:t>
      </w:r>
      <w:r>
        <w:rPr>
          <w:spacing w:val="-37"/>
        </w:rPr>
        <w:t> 米</w:t>
      </w:r>
    </w:p>
    <w:p>
      <w:pPr>
        <w:pStyle w:val="BodyText"/>
        <w:spacing w:line="283" w:lineRule="auto"/>
        <w:ind w:right="6423"/>
      </w:pPr>
      <w:r>
        <w:rPr/>
        <w:t>浅谈大型城市综合体消防设计_城市综合体设计浅谈大型城市综合体消防设计_城市综合体设计</w:t>
      </w:r>
    </w:p>
    <w:p>
      <w:pPr>
        <w:pStyle w:val="BodyText"/>
        <w:spacing w:line="283" w:lineRule="auto"/>
        <w:ind w:right="224"/>
      </w:pPr>
      <w:r>
        <w:rPr>
          <w:spacing w:val="-4"/>
        </w:rPr>
        <w:t>随着现代经济的发展，越来越多的大型建筑不断涌现,其中以商业建筑最为突出。商业建筑  </w:t>
      </w:r>
      <w:r>
        <w:rPr>
          <w:spacing w:val="-7"/>
        </w:rPr>
        <w:t>在近十年来已经由单体面积几千平米发展至几万平米甚至十几万平米,而且功能也越来越复  </w:t>
      </w:r>
      <w:r>
        <w:rPr>
          <w:spacing w:val="-8"/>
        </w:rPr>
        <w:t>杂。现代商业建筑具有商业、餐饮、娱乐、休闲、展示等多种空间，并在各部分间建立一种</w:t>
      </w:r>
      <w:r>
        <w:rPr>
          <w:spacing w:val="-6"/>
        </w:rPr>
        <w:t>相互依存、相互助益的能动关系,从而形成一个多功能、高效率的综合体，我们称之为城市  </w:t>
      </w:r>
      <w:r>
        <w:rPr>
          <w:spacing w:val="-11"/>
        </w:rPr>
        <w:t>综合体.它具备了现代城市的综合功能，所以也被称为“城中之城</w:t>
      </w:r>
      <w:r>
        <w:rPr>
          <w:spacing w:val="-101"/>
        </w:rPr>
        <w:t>”。</w:t>
      </w:r>
    </w:p>
    <w:p>
      <w:pPr>
        <w:pStyle w:val="BodyText"/>
        <w:spacing w:line="283" w:lineRule="auto"/>
        <w:ind w:right="431"/>
      </w:pPr>
      <w:r>
        <w:rPr/>
        <w:t>目前国内具代表性的为万达公司开发的第 3 代商业地产项目--万达商业广场.其中由南京市建筑设计研究院有限责任公司设计的南京建邺万达广场就是其中的代表作之一。</w:t>
      </w:r>
    </w:p>
    <w:p>
      <w:pPr>
        <w:pStyle w:val="BodyText"/>
        <w:spacing w:line="283" w:lineRule="auto"/>
        <w:ind w:right="431"/>
      </w:pPr>
      <w:r>
        <w:rPr>
          <w:spacing w:val="-13"/>
        </w:rPr>
        <w:t>由于城市综合体功能交杂，体量庞大，在规划建筑设计中遇到许多新问题需要研究解决，本</w:t>
      </w:r>
      <w:r>
        <w:rPr>
          <w:spacing w:val="-6"/>
        </w:rPr>
        <w:t>文就南京建邺万达广场设计实例,来探讨城市综合体的消防设浅谈大型城市综合体消防设计</w:t>
      </w:r>
    </w:p>
    <w:p>
      <w:pPr>
        <w:pStyle w:val="BodyText"/>
        <w:tabs>
          <w:tab w:pos="1573" w:val="left" w:leader="none"/>
        </w:tabs>
        <w:spacing w:line="283" w:lineRule="auto"/>
        <w:ind w:right="10056"/>
      </w:pPr>
      <w:r>
        <w:rPr/>
        <w:t>_城市综合体设计</w:t>
      </w:r>
      <w:r>
        <w:rPr>
          <w:spacing w:val="-11"/>
        </w:rPr>
        <w:t>计</w:t>
      </w:r>
      <w:r>
        <w:rPr>
          <w:spacing w:val="-17"/>
        </w:rPr>
        <w:t>. </w:t>
      </w:r>
      <w:r>
        <w:rPr/>
        <w:t> </w:t>
      </w:r>
      <w:r>
        <w:rPr>
          <w:spacing w:val="-62"/>
        </w:rPr>
        <w:t>(</w:t>
      </w:r>
      <w:r>
        <w:rPr/>
        <w:t>一)</w:t>
        <w:tab/>
        <w:t>概况：</w:t>
      </w:r>
    </w:p>
    <w:p>
      <w:pPr>
        <w:pStyle w:val="BodyText"/>
        <w:spacing w:line="283" w:lineRule="auto"/>
        <w:ind w:right="352"/>
      </w:pPr>
      <w:r>
        <w:rPr>
          <w:spacing w:val="-1"/>
        </w:rPr>
        <w:t>本工程位于地位于南京市建邺区江东中路与水西门大街交汇处西南角，四周城市干道环绕, </w:t>
      </w:r>
      <w:r>
        <w:rPr>
          <w:spacing w:val="-12"/>
        </w:rPr>
        <w:t>总建筑面积约 </w:t>
      </w:r>
      <w:r>
        <w:rPr/>
        <w:t>27.5</w:t>
      </w:r>
      <w:r>
        <w:rPr>
          <w:spacing w:val="-11"/>
        </w:rPr>
        <w:t>万方米，地上为 </w:t>
      </w:r>
      <w:r>
        <w:rPr/>
        <w:t>3—5</w:t>
      </w:r>
      <w:r>
        <w:rPr>
          <w:spacing w:val="-26"/>
        </w:rPr>
        <w:t> 层，地下 </w:t>
      </w:r>
      <w:r>
        <w:rPr/>
        <w:t>1—2</w:t>
      </w:r>
      <w:r>
        <w:rPr>
          <w:spacing w:val="-31"/>
        </w:rPr>
        <w:t> 层,建筑高度 </w:t>
      </w:r>
      <w:r>
        <w:rPr/>
        <w:t>24</w:t>
      </w:r>
      <w:r>
        <w:rPr>
          <w:spacing w:val="-23"/>
        </w:rPr>
        <w:t> 米。</w:t>
      </w:r>
    </w:p>
    <w:p>
      <w:pPr>
        <w:pStyle w:val="BodyText"/>
        <w:spacing w:line="283" w:lineRule="auto"/>
        <w:ind w:right="269"/>
      </w:pPr>
      <w:r>
        <w:rPr>
          <w:spacing w:val="-5"/>
        </w:rPr>
        <w:t>综合体建筑南北总长约 </w:t>
      </w:r>
      <w:r>
        <w:rPr/>
        <w:t>198</w:t>
      </w:r>
      <w:r>
        <w:rPr>
          <w:spacing w:val="-19"/>
        </w:rPr>
        <w:t> 米,东西总约长 </w:t>
      </w:r>
      <w:r>
        <w:rPr/>
        <w:t>308</w:t>
      </w:r>
      <w:r>
        <w:rPr>
          <w:spacing w:val="-12"/>
        </w:rPr>
        <w:t> 米。由四个区域组成,分别为北侧四层综合楼</w:t>
      </w:r>
      <w:r>
        <w:rPr>
          <w:spacing w:val="-32"/>
        </w:rPr>
        <w:t>和五层金陵家居楼，东侧五层百货楼，南侧四层娱乐楼(含夹层)。各区域两两相互围合成“丁” </w:t>
      </w:r>
      <w:r>
        <w:rPr/>
        <w:t>字形室内商业步行街，各区间通过步行街由连廊相连接组成一个超大型的单体建筑。</w:t>
      </w:r>
    </w:p>
    <w:p>
      <w:pPr>
        <w:pStyle w:val="BodyText"/>
        <w:tabs>
          <w:tab w:pos="2012" w:val="left" w:leader="none"/>
        </w:tabs>
        <w:spacing w:line="283" w:lineRule="auto"/>
        <w:ind w:right="410"/>
      </w:pPr>
      <w:r>
        <w:rPr/>
        <w:t>（二）</w:t>
        <w:tab/>
        <w:t>消防设计中需浅谈大型城市综合体消防设</w:t>
      </w:r>
      <w:r>
        <w:rPr>
          <w:spacing w:val="-31"/>
        </w:rPr>
        <w:t>计</w:t>
      </w:r>
      <w:r>
        <w:rPr/>
        <w:t>_城市综合体设计要论证的问</w:t>
      </w:r>
      <w:r>
        <w:rPr>
          <w:spacing w:val="-25"/>
        </w:rPr>
        <w:t>题</w:t>
      </w:r>
      <w:r>
        <w:rPr/>
        <w:t>: 做为万达商业地产的第</w:t>
      </w:r>
      <w:r>
        <w:rPr>
          <w:spacing w:val="43"/>
        </w:rPr>
        <w:t> </w:t>
      </w:r>
      <w:r>
        <w:rPr/>
        <w:t>3</w:t>
      </w:r>
      <w:r>
        <w:rPr>
          <w:spacing w:val="73"/>
        </w:rPr>
        <w:t> </w:t>
      </w:r>
      <w:r>
        <w:rPr/>
        <w:t>代产品，其核心是“订单式商业地</w:t>
      </w:r>
      <w:r>
        <w:rPr>
          <w:spacing w:val="-21"/>
        </w:rPr>
        <w:t>产</w:t>
      </w:r>
      <w:r>
        <w:rPr>
          <w:spacing w:val="-18"/>
        </w:rPr>
        <w:t>"，</w:t>
      </w:r>
      <w:r>
        <w:rPr/>
        <w:t>因此我们必须满足协议</w:t>
      </w:r>
      <w:r>
        <w:rPr>
          <w:spacing w:val="-16"/>
        </w:rPr>
        <w:t>商</w:t>
      </w:r>
      <w:r>
        <w:rPr/>
        <w:t>家的空间</w:t>
      </w:r>
      <w:r>
        <w:rPr>
          <w:spacing w:val="-44"/>
        </w:rPr>
        <w:t>、</w:t>
      </w:r>
      <w:r>
        <w:rPr/>
        <w:t>功能的需求</w:t>
      </w:r>
      <w:r>
        <w:rPr>
          <w:spacing w:val="-47"/>
        </w:rPr>
        <w:t>。</w:t>
      </w:r>
      <w:r>
        <w:rPr/>
        <w:t>为此综合体中出现较多大空间中庭</w:t>
      </w:r>
      <w:r>
        <w:rPr>
          <w:spacing w:val="-61"/>
        </w:rPr>
        <w:t>，</w:t>
      </w:r>
      <w:r>
        <w:rPr/>
        <w:t>大开间大进深营业厅等</w:t>
      </w:r>
      <w:r>
        <w:rPr>
          <w:spacing w:val="-54"/>
        </w:rPr>
        <w:t>，</w:t>
      </w:r>
      <w:r>
        <w:rPr/>
        <w:t>这也与现行的建筑防火规范有较多相矛盾</w:t>
      </w:r>
      <w:r>
        <w:rPr>
          <w:spacing w:val="-75"/>
        </w:rPr>
        <w:t>，</w:t>
      </w:r>
      <w:r>
        <w:rPr/>
        <w:t>通过常规措施以无法解决</w:t>
      </w:r>
      <w:r>
        <w:rPr>
          <w:spacing w:val="-65"/>
        </w:rPr>
        <w:t>，</w:t>
      </w:r>
      <w:r>
        <w:rPr/>
        <w:t>我们通过整理核对</w:t>
      </w:r>
      <w:r>
        <w:rPr>
          <w:spacing w:val="-60"/>
        </w:rPr>
        <w:t>，</w:t>
      </w:r>
      <w:r>
        <w:rPr/>
        <w:t>主要体现在以下几个方面：</w:t>
      </w:r>
    </w:p>
    <w:p>
      <w:pPr>
        <w:pStyle w:val="BodyText"/>
        <w:spacing w:line="283" w:lineRule="auto"/>
        <w:ind w:right="339"/>
      </w:pPr>
      <w:r>
        <w:rPr/>
        <w:t>1、建筑沿街长度超过 150 米，总长度超过 220 米，且进深超过 50 米，应建筑内部连接限制，无法设置穿越建筑的消防车道。</w:t>
      </w:r>
    </w:p>
    <w:p>
      <w:pPr>
        <w:pStyle w:val="BodyText"/>
        <w:spacing w:line="283" w:lineRule="auto"/>
        <w:ind w:right="311"/>
      </w:pPr>
      <w:r>
        <w:rPr/>
        <w:t>2、由于建筑体量过大,建筑层数为 5 层，大部分位于建筑中部的疏散楼梯在首层不能直通室外.</w:t>
      </w:r>
    </w:p>
    <w:p>
      <w:pPr>
        <w:spacing w:after="0" w:line="283" w:lineRule="auto"/>
        <w:sectPr>
          <w:type w:val="continuous"/>
          <w:pgSz w:w="17860" w:h="25260"/>
          <w:pgMar w:top="1880" w:bottom="280" w:left="2560" w:right="2260"/>
        </w:sectPr>
      </w:pPr>
    </w:p>
    <w:p>
      <w:pPr>
        <w:pStyle w:val="BodyText"/>
        <w:spacing w:line="283" w:lineRule="auto" w:before="29"/>
        <w:ind w:right="414"/>
      </w:pPr>
      <w:r>
        <w:rPr/>
        <w:t>3、建筑一层内部的部分位置距最近室外安全出口直线距离超过37。5 米，步行街商铺门至室外安全出口距离大于 60 米。</w:t>
      </w:r>
    </w:p>
    <w:p>
      <w:pPr>
        <w:pStyle w:val="BodyText"/>
        <w:spacing w:line="283" w:lineRule="auto"/>
        <w:ind w:right="322"/>
      </w:pPr>
      <w:r>
        <w:rPr/>
        <w:t>4、根据商业功能使用要求，步行街中庭无法设置防火卷帘，因此三层步行街面积叠加，成为一个超大防火分区,不满足规范要求.</w:t>
      </w:r>
    </w:p>
    <w:p>
      <w:pPr>
        <w:pStyle w:val="BodyText"/>
        <w:spacing w:line="396" w:lineRule="exact"/>
      </w:pPr>
      <w:r>
        <w:rPr/>
        <w:t>5、娱乐楼 1 层及 4 层均为一个防火分区，单层面积过大，不满足规范要求。</w:t>
      </w:r>
    </w:p>
    <w:p>
      <w:pPr>
        <w:pStyle w:val="BodyText"/>
        <w:spacing w:line="283" w:lineRule="auto" w:before="70"/>
        <w:ind w:right="433"/>
      </w:pPr>
      <w:r>
        <w:rPr>
          <w:spacing w:val="3"/>
        </w:rPr>
        <w:t>6</w:t>
      </w:r>
      <w:r>
        <w:rPr>
          <w:spacing w:val="-20"/>
        </w:rPr>
        <w:t>、根据业态经营的需要,步行街两旁的商铺固定墙体大都为展示橱窗,采用钢化玻璃分隔，不</w:t>
      </w:r>
      <w:r>
        <w:rPr/>
        <w:t>满足防火构造的要求。</w:t>
      </w:r>
    </w:p>
    <w:p>
      <w:pPr>
        <w:pStyle w:val="BodyText"/>
        <w:spacing w:line="283" w:lineRule="auto"/>
        <w:ind w:right="414"/>
      </w:pPr>
      <w:r>
        <w:rPr>
          <w:spacing w:val="3"/>
        </w:rPr>
        <w:t>7</w:t>
      </w:r>
      <w:r>
        <w:rPr>
          <w:spacing w:val="-15"/>
        </w:rPr>
        <w:t>、根据业态经营需要,影城布置在 </w:t>
      </w:r>
      <w:r>
        <w:rPr/>
        <w:t>4</w:t>
      </w:r>
      <w:r>
        <w:rPr>
          <w:spacing w:val="-14"/>
        </w:rPr>
        <w:t> 层，大部分影厅超过 </w:t>
      </w:r>
      <w:r>
        <w:rPr/>
        <w:t>200</w:t>
      </w:r>
      <w:r>
        <w:rPr>
          <w:spacing w:val="-11"/>
        </w:rPr>
        <w:t> 平方米,且安全疏散宽度不满足</w:t>
      </w:r>
      <w:r>
        <w:rPr/>
        <w:t>规范要求。</w:t>
      </w:r>
    </w:p>
    <w:p>
      <w:pPr>
        <w:pStyle w:val="BodyText"/>
        <w:spacing w:line="283" w:lineRule="auto"/>
        <w:ind w:right="322"/>
      </w:pPr>
      <w:r>
        <w:rPr/>
        <w:t>8、由于商业得房率指标的控制和业态经营需要，各主力店及步行街楼梯不满足疏散宽度要求。</w:t>
      </w:r>
    </w:p>
    <w:p>
      <w:pPr>
        <w:pStyle w:val="BodyText"/>
        <w:spacing w:line="396" w:lineRule="exact"/>
      </w:pPr>
      <w:r>
        <w:rPr/>
        <w:t>9、因使用功能变更及场地限制，商业营业厅需要与其他功能楼层共用疏散楼梯。</w:t>
      </w:r>
    </w:p>
    <w:p>
      <w:pPr>
        <w:pStyle w:val="BodyText"/>
        <w:spacing w:before="69"/>
      </w:pPr>
      <w:r>
        <w:rPr/>
        <w:t>10、商业步行街长度超过 300 米，未设露天横通道。</w:t>
      </w:r>
    </w:p>
    <w:p>
      <w:pPr>
        <w:pStyle w:val="BodyText"/>
        <w:spacing w:before="71"/>
      </w:pPr>
      <w:r>
        <w:rPr/>
        <w:t>11、三层及三层以上商业部分灭火救援窗间距不符合规范要求。</w:t>
      </w:r>
    </w:p>
    <w:p>
      <w:pPr>
        <w:pStyle w:val="BodyText"/>
        <w:spacing w:line="283" w:lineRule="auto" w:before="71"/>
        <w:ind w:right="427"/>
        <w:jc w:val="both"/>
      </w:pPr>
      <w:r>
        <w:rPr/>
        <w:t>（三）      采用消防性能化评估及复核采取加强性措施浅谈大型城市综合体消防设计_城市综合体设计</w:t>
      </w:r>
    </w:p>
    <w:p>
      <w:pPr>
        <w:pStyle w:val="BodyText"/>
        <w:spacing w:line="283" w:lineRule="auto"/>
        <w:ind w:right="403"/>
        <w:jc w:val="both"/>
      </w:pPr>
      <w:r>
        <w:rPr>
          <w:spacing w:val="-4"/>
        </w:rPr>
        <w:t>如何解决消防问题而不影响万达的商业布局理念 ,我们为此做了多种尝试 ,问题集中体现在</w:t>
      </w:r>
      <w:r>
        <w:rPr>
          <w:spacing w:val="-8"/>
        </w:rPr>
        <w:t>“室内商业步行街"上。作为室内空间，他联系着各主力店，使万达广场构成一个超大体量</w:t>
      </w:r>
      <w:r>
        <w:rPr>
          <w:spacing w:val="-16"/>
        </w:rPr>
        <w:t>的建筑，而大部分楼梯在首层都疏散至步行街一层。如果步行街在首层能够作为楼梯安全疏</w:t>
      </w:r>
      <w:r>
        <w:rPr/>
        <w:t>散区，很多问题都可以迎刃而解。因此我们提出了步行街“压安全区”的概念。</w:t>
      </w:r>
    </w:p>
    <w:p>
      <w:pPr>
        <w:pStyle w:val="BodyText"/>
        <w:spacing w:line="283" w:lineRule="auto"/>
        <w:ind w:right="393"/>
        <w:jc w:val="both"/>
      </w:pPr>
      <w:r>
        <w:rPr>
          <w:spacing w:val="-16"/>
        </w:rPr>
        <w:t>为了证实“亚安全区”的可靠性，我们与南京万达广场投资有限公司及有关消防部门经过多</w:t>
      </w:r>
      <w:r>
        <w:rPr>
          <w:spacing w:val="-13"/>
        </w:rPr>
        <w:t>次交流沟通，针对以上所提出的消防疏散理念的可行性，决定采用消防性能化评估和专家论</w:t>
      </w:r>
      <w:r>
        <w:rPr>
          <w:spacing w:val="-12"/>
        </w:rPr>
        <w:t>证会的形式来解决.</w:t>
      </w:r>
    </w:p>
    <w:p>
      <w:pPr>
        <w:pStyle w:val="BodyText"/>
        <w:spacing w:line="283" w:lineRule="auto"/>
        <w:ind w:right="403"/>
        <w:jc w:val="both"/>
      </w:pPr>
      <w:r>
        <w:rPr>
          <w:spacing w:val="-13"/>
        </w:rPr>
        <w:t>为此，我院开始与北京中科思孚公共安全科技发展有限公司合作，积极分析项目特点，对建</w:t>
      </w:r>
      <w:r>
        <w:rPr>
          <w:spacing w:val="-19"/>
        </w:rPr>
        <w:t>筑做出火灾模拟测试，根据相关数据得出优化措施。并由国家消防工程技术研究中心对数据</w:t>
      </w:r>
      <w:r>
        <w:rPr/>
        <w:t>分析和优化措施做出复核。主要优化措施如下：</w:t>
      </w:r>
    </w:p>
    <w:p>
      <w:pPr>
        <w:pStyle w:val="BodyText"/>
        <w:spacing w:line="396" w:lineRule="exact"/>
        <w:jc w:val="both"/>
      </w:pPr>
      <w:r>
        <w:rPr/>
        <w:t>（1) 建筑优化措施</w:t>
      </w:r>
    </w:p>
    <w:p>
      <w:pPr>
        <w:pStyle w:val="ListParagraph"/>
        <w:numPr>
          <w:ilvl w:val="0"/>
          <w:numId w:val="1"/>
        </w:numPr>
        <w:tabs>
          <w:tab w:pos="965" w:val="left" w:leader="none"/>
        </w:tabs>
        <w:spacing w:line="240" w:lineRule="auto" w:before="65" w:after="0"/>
        <w:ind w:left="965" w:right="0" w:hanging="825"/>
        <w:jc w:val="both"/>
        <w:rPr>
          <w:sz w:val="31"/>
        </w:rPr>
      </w:pPr>
      <w:r>
        <w:rPr>
          <w:spacing w:val="3"/>
          <w:sz w:val="31"/>
        </w:rPr>
        <w:t>中庭各区域的装饰和家具全部采用</w:t>
      </w:r>
      <w:r>
        <w:rPr>
          <w:sz w:val="31"/>
        </w:rPr>
        <w:t>A</w:t>
      </w:r>
      <w:r>
        <w:rPr>
          <w:spacing w:val="-12"/>
          <w:sz w:val="31"/>
        </w:rPr>
        <w:t> 级材料.</w:t>
      </w:r>
    </w:p>
    <w:p>
      <w:pPr>
        <w:pStyle w:val="ListParagraph"/>
        <w:numPr>
          <w:ilvl w:val="0"/>
          <w:numId w:val="1"/>
        </w:numPr>
        <w:tabs>
          <w:tab w:pos="962" w:val="left" w:leader="none"/>
        </w:tabs>
        <w:spacing w:line="283" w:lineRule="auto" w:before="70" w:after="0"/>
        <w:ind w:left="140" w:right="354" w:firstLine="0"/>
        <w:jc w:val="both"/>
        <w:rPr>
          <w:sz w:val="31"/>
        </w:rPr>
      </w:pPr>
      <w:r>
        <w:rPr>
          <w:spacing w:val="-1"/>
          <w:sz w:val="31"/>
        </w:rPr>
        <w:t>商业步行街与各主力店之间的防火分隔采用防火墙分隔，仅在必要连通口处采用防火</w:t>
      </w:r>
      <w:r>
        <w:rPr>
          <w:spacing w:val="-2"/>
          <w:sz w:val="31"/>
        </w:rPr>
        <w:t>卷帘和甲级防火门分隔.</w:t>
      </w:r>
    </w:p>
    <w:p>
      <w:pPr>
        <w:pStyle w:val="ListParagraph"/>
        <w:numPr>
          <w:ilvl w:val="0"/>
          <w:numId w:val="2"/>
        </w:numPr>
        <w:tabs>
          <w:tab w:pos="728" w:val="left" w:leader="none"/>
        </w:tabs>
        <w:spacing w:line="283" w:lineRule="auto" w:before="0" w:after="0"/>
        <w:ind w:left="140" w:right="421" w:firstLine="0"/>
        <w:jc w:val="both"/>
        <w:rPr>
          <w:sz w:val="31"/>
        </w:rPr>
      </w:pPr>
      <w:r>
        <w:rPr>
          <w:spacing w:val="-6"/>
          <w:sz w:val="31"/>
        </w:rPr>
        <w:t>商业步行街公共区域与精品店之间的防火分隔采用钢化玻璃加水喷淋做法，每个精品店</w:t>
      </w:r>
      <w:r>
        <w:rPr>
          <w:spacing w:val="3"/>
          <w:sz w:val="31"/>
        </w:rPr>
        <w:t>为独立防火单元，精品店面积超过</w:t>
      </w:r>
      <w:r>
        <w:rPr>
          <w:sz w:val="31"/>
        </w:rPr>
        <w:t>300</w:t>
      </w:r>
      <w:r>
        <w:rPr>
          <w:spacing w:val="-10"/>
          <w:sz w:val="31"/>
        </w:rPr>
        <w:t> 平方米的设置了排烟系统.</w:t>
      </w:r>
    </w:p>
    <w:p>
      <w:pPr>
        <w:pStyle w:val="ListParagraph"/>
        <w:numPr>
          <w:ilvl w:val="0"/>
          <w:numId w:val="2"/>
        </w:numPr>
        <w:tabs>
          <w:tab w:pos="760" w:val="left" w:leader="none"/>
        </w:tabs>
        <w:spacing w:line="283" w:lineRule="auto" w:before="0" w:after="0"/>
        <w:ind w:left="140" w:right="436" w:firstLine="0"/>
        <w:jc w:val="both"/>
        <w:rPr>
          <w:sz w:val="31"/>
        </w:rPr>
      </w:pPr>
      <w:r>
        <w:rPr>
          <w:spacing w:val="-9"/>
          <w:sz w:val="31"/>
        </w:rPr>
        <w:t>四层各电影厅为独立防火单元,采用耐火极限不低于 </w:t>
      </w:r>
      <w:r>
        <w:rPr>
          <w:spacing w:val="3"/>
          <w:sz w:val="31"/>
        </w:rPr>
        <w:t>2</w:t>
      </w:r>
      <w:r>
        <w:rPr>
          <w:spacing w:val="-4"/>
          <w:sz w:val="31"/>
        </w:rPr>
        <w:t>。</w:t>
      </w:r>
      <w:r>
        <w:rPr>
          <w:sz w:val="31"/>
        </w:rPr>
        <w:t>00h</w:t>
      </w:r>
      <w:r>
        <w:rPr>
          <w:spacing w:val="-1"/>
          <w:sz w:val="31"/>
        </w:rPr>
        <w:t> 的不燃烧体隔墙和 </w:t>
      </w:r>
      <w:r>
        <w:rPr>
          <w:sz w:val="31"/>
        </w:rPr>
        <w:t>2.50h</w:t>
      </w:r>
      <w:r>
        <w:rPr>
          <w:spacing w:val="-15"/>
          <w:sz w:val="31"/>
        </w:rPr>
        <w:t>的</w:t>
      </w:r>
      <w:r>
        <w:rPr>
          <w:sz w:val="31"/>
        </w:rPr>
        <w:t>不燃烧体楼板与其它部位隔开，疏散门为甲级防火门。</w:t>
      </w:r>
    </w:p>
    <w:p>
      <w:pPr>
        <w:pStyle w:val="ListParagraph"/>
        <w:numPr>
          <w:ilvl w:val="0"/>
          <w:numId w:val="2"/>
        </w:numPr>
        <w:tabs>
          <w:tab w:pos="749" w:val="left" w:leader="none"/>
        </w:tabs>
        <w:spacing w:line="283" w:lineRule="auto" w:before="0" w:after="0"/>
        <w:ind w:left="140" w:right="424" w:firstLine="0"/>
        <w:jc w:val="both"/>
        <w:rPr>
          <w:sz w:val="31"/>
        </w:rPr>
      </w:pPr>
      <w:r>
        <w:rPr>
          <w:spacing w:val="-6"/>
          <w:sz w:val="31"/>
        </w:rPr>
        <w:t>对立面无影响的楼梯间都出屋面，其中:百货楼出屋面 </w:t>
      </w:r>
      <w:r>
        <w:rPr>
          <w:sz w:val="31"/>
        </w:rPr>
        <w:t>3</w:t>
      </w:r>
      <w:r>
        <w:rPr>
          <w:spacing w:val="-1"/>
          <w:sz w:val="31"/>
        </w:rPr>
        <w:t> 部，回迁楼出屋面 </w:t>
      </w:r>
      <w:r>
        <w:rPr>
          <w:sz w:val="31"/>
        </w:rPr>
        <w:t>8</w:t>
      </w:r>
      <w:r>
        <w:rPr>
          <w:spacing w:val="-1"/>
          <w:sz w:val="31"/>
        </w:rPr>
        <w:t> 部，综合</w:t>
      </w:r>
      <w:r>
        <w:rPr>
          <w:spacing w:val="-10"/>
          <w:sz w:val="31"/>
        </w:rPr>
        <w:t>楼出屋面 </w:t>
      </w:r>
      <w:r>
        <w:rPr>
          <w:sz w:val="31"/>
        </w:rPr>
        <w:t>4</w:t>
      </w:r>
      <w:r>
        <w:rPr>
          <w:spacing w:val="-12"/>
          <w:sz w:val="31"/>
        </w:rPr>
        <w:t> 部，娱乐楼出屋面 </w:t>
      </w:r>
      <w:r>
        <w:rPr>
          <w:sz w:val="31"/>
        </w:rPr>
        <w:t>1</w:t>
      </w:r>
      <w:r>
        <w:rPr>
          <w:spacing w:val="-13"/>
          <w:sz w:val="31"/>
        </w:rPr>
        <w:t> 部，步行街出屋面 </w:t>
      </w:r>
      <w:r>
        <w:rPr>
          <w:sz w:val="31"/>
        </w:rPr>
        <w:t>1</w:t>
      </w:r>
      <w:r>
        <w:rPr>
          <w:spacing w:val="-12"/>
          <w:sz w:val="31"/>
        </w:rPr>
        <w:t> 部；同时屋面耐火极限为 </w:t>
      </w:r>
      <w:r>
        <w:rPr>
          <w:sz w:val="31"/>
        </w:rPr>
        <w:t>2。5</w:t>
      </w:r>
      <w:r>
        <w:rPr>
          <w:spacing w:val="-14"/>
          <w:sz w:val="31"/>
        </w:rPr>
        <w:t> 小时， </w:t>
      </w:r>
      <w:r>
        <w:rPr>
          <w:spacing w:val="-11"/>
          <w:sz w:val="31"/>
        </w:rPr>
        <w:t>大于规范限定的 </w:t>
      </w:r>
      <w:r>
        <w:rPr>
          <w:sz w:val="31"/>
        </w:rPr>
        <w:t>1。5</w:t>
      </w:r>
      <w:r>
        <w:rPr>
          <w:spacing w:val="-19"/>
          <w:sz w:val="31"/>
        </w:rPr>
        <w:t> 小时。</w:t>
      </w:r>
    </w:p>
    <w:p>
      <w:pPr>
        <w:pStyle w:val="ListParagraph"/>
        <w:numPr>
          <w:ilvl w:val="0"/>
          <w:numId w:val="2"/>
        </w:numPr>
        <w:tabs>
          <w:tab w:pos="695" w:val="left" w:leader="none"/>
        </w:tabs>
        <w:spacing w:line="283" w:lineRule="auto" w:before="0" w:after="0"/>
        <w:ind w:left="140" w:right="1697" w:firstLine="0"/>
        <w:jc w:val="both"/>
        <w:rPr>
          <w:sz w:val="31"/>
        </w:rPr>
      </w:pPr>
      <w:r>
        <w:rPr>
          <w:spacing w:val="-7"/>
          <w:sz w:val="31"/>
        </w:rPr>
        <w:t>首层商业防火分区的划分按照规范下限设置,即各防火分区小于 </w:t>
      </w:r>
      <w:r>
        <w:rPr>
          <w:sz w:val="31"/>
        </w:rPr>
        <w:t>5000</w:t>
      </w:r>
      <w:r>
        <w:rPr>
          <w:spacing w:val="3"/>
          <w:sz w:val="31"/>
        </w:rPr>
        <w:t> 平方米。</w:t>
      </w:r>
      <w:r>
        <w:rPr>
          <w:spacing w:val="-6"/>
          <w:sz w:val="31"/>
        </w:rPr>
        <w:t>g）</w:t>
      </w:r>
      <w:r>
        <w:rPr>
          <w:spacing w:val="-5"/>
          <w:sz w:val="31"/>
        </w:rPr>
        <w:t> 主力店内挡烟垂壁高度由 </w:t>
      </w:r>
      <w:r>
        <w:rPr>
          <w:sz w:val="31"/>
        </w:rPr>
        <w:t>500</w:t>
      </w:r>
      <w:r>
        <w:rPr>
          <w:spacing w:val="9"/>
          <w:sz w:val="31"/>
        </w:rPr>
        <w:t> </w:t>
      </w:r>
      <w:r>
        <w:rPr>
          <w:sz w:val="31"/>
        </w:rPr>
        <w:t>mm</w:t>
      </w:r>
      <w:r>
        <w:rPr>
          <w:spacing w:val="-10"/>
          <w:sz w:val="31"/>
        </w:rPr>
        <w:t> 提高至 </w:t>
      </w:r>
      <w:r>
        <w:rPr>
          <w:sz w:val="31"/>
        </w:rPr>
        <w:t>600mm</w:t>
      </w:r>
      <w:r>
        <w:rPr>
          <w:spacing w:val="21"/>
          <w:sz w:val="31"/>
        </w:rPr>
        <w:t> 。</w:t>
      </w:r>
    </w:p>
    <w:p>
      <w:pPr>
        <w:pStyle w:val="BodyText"/>
        <w:ind w:left="0"/>
        <w:rPr>
          <w:sz w:val="36"/>
        </w:rPr>
      </w:pPr>
    </w:p>
    <w:p>
      <w:pPr>
        <w:pStyle w:val="BodyText"/>
        <w:tabs>
          <w:tab w:pos="1141" w:val="left" w:leader="none"/>
        </w:tabs>
      </w:pPr>
      <w:r>
        <w:rPr>
          <w:spacing w:val="-21"/>
        </w:rPr>
        <w:t>(2）</w:t>
        <w:tab/>
      </w:r>
      <w:r>
        <w:rPr/>
        <w:t>排烟系统优化措施</w:t>
      </w:r>
    </w:p>
    <w:p>
      <w:pPr>
        <w:pStyle w:val="ListParagraph"/>
        <w:numPr>
          <w:ilvl w:val="0"/>
          <w:numId w:val="3"/>
        </w:numPr>
        <w:tabs>
          <w:tab w:pos="957" w:val="left" w:leader="none"/>
          <w:tab w:pos="958" w:val="left" w:leader="none"/>
        </w:tabs>
        <w:spacing w:line="283" w:lineRule="auto" w:before="71" w:after="0"/>
        <w:ind w:left="140" w:right="358" w:firstLine="0"/>
        <w:jc w:val="left"/>
        <w:rPr>
          <w:sz w:val="31"/>
        </w:rPr>
      </w:pPr>
      <w:r>
        <w:rPr>
          <w:spacing w:val="-1"/>
          <w:sz w:val="31"/>
        </w:rPr>
        <w:t>地上所有不具备自然排烟条件的商场，娱乐场所等均设有机械排烟系统，排烟兼作排</w:t>
      </w:r>
      <w:r>
        <w:rPr>
          <w:spacing w:val="-2"/>
          <w:sz w:val="31"/>
        </w:rPr>
        <w:t>风系统，平时有防火风口进行排风着火时，  通过烟感器报警,由消防指挥中心关闭防火风</w:t>
      </w:r>
      <w:r>
        <w:rPr>
          <w:spacing w:val="-16"/>
          <w:sz w:val="31"/>
        </w:rPr>
        <w:t>口， 开启着火区域的多叶排烟风口排烟。系统转入排烟状态.当烟气温度达到 </w:t>
      </w:r>
      <w:r>
        <w:rPr>
          <w:sz w:val="31"/>
        </w:rPr>
        <w:t>280</w:t>
      </w:r>
      <w:r>
        <w:rPr>
          <w:spacing w:val="-17"/>
          <w:sz w:val="31"/>
        </w:rPr>
        <w:t>℃ 时,设在</w:t>
      </w:r>
    </w:p>
    <w:p>
      <w:pPr>
        <w:spacing w:after="0" w:line="283" w:lineRule="auto"/>
        <w:jc w:val="left"/>
        <w:rPr>
          <w:sz w:val="31"/>
        </w:rPr>
        <w:sectPr>
          <w:pgSz w:w="17860" w:h="25260"/>
          <w:pgMar w:top="1880" w:bottom="280" w:left="2560" w:right="2260"/>
        </w:sectPr>
      </w:pPr>
    </w:p>
    <w:p>
      <w:pPr>
        <w:pStyle w:val="BodyText"/>
        <w:spacing w:before="29"/>
      </w:pPr>
      <w:r>
        <w:rPr/>
        <w:t>排烟风机入口处的排烟防火阀（PYH2)自动关闭，并联动排烟风机关闭。</w:t>
      </w:r>
    </w:p>
    <w:p>
      <w:pPr>
        <w:pStyle w:val="ListParagraph"/>
        <w:numPr>
          <w:ilvl w:val="0"/>
          <w:numId w:val="3"/>
        </w:numPr>
        <w:tabs>
          <w:tab w:pos="983" w:val="left" w:leader="none"/>
        </w:tabs>
        <w:spacing w:line="283" w:lineRule="auto" w:before="72" w:after="0"/>
        <w:ind w:left="140" w:right="410" w:firstLine="0"/>
        <w:jc w:val="both"/>
        <w:rPr>
          <w:sz w:val="31"/>
        </w:rPr>
      </w:pPr>
      <w:r>
        <w:rPr>
          <w:spacing w:val="-9"/>
          <w:sz w:val="31"/>
        </w:rPr>
        <w:t>排烟系统按防火分区设置.每一防火分区设有若干个浅谈大型城市综合体消防设计</w:t>
      </w:r>
      <w:r>
        <w:rPr>
          <w:sz w:val="31"/>
        </w:rPr>
        <w:t>_城市综合体设计防烟分区，原则上防烟分区的最大面积小于 500M</w:t>
      </w:r>
      <w:r>
        <w:rPr>
          <w:spacing w:val="1"/>
          <w:sz w:val="31"/>
        </w:rPr>
        <w:t> ,系统排烟量为最大防烟分</w:t>
      </w:r>
      <w:r>
        <w:rPr>
          <w:spacing w:val="-8"/>
          <w:sz w:val="31"/>
        </w:rPr>
        <w:t>区面积乘以每平方米 </w:t>
      </w:r>
      <w:r>
        <w:rPr>
          <w:sz w:val="31"/>
        </w:rPr>
        <w:t>120m</w:t>
      </w:r>
      <w:r>
        <w:rPr>
          <w:spacing w:val="144"/>
          <w:sz w:val="31"/>
        </w:rPr>
        <w:t> </w:t>
      </w:r>
      <w:r>
        <w:rPr>
          <w:spacing w:val="-15"/>
          <w:sz w:val="31"/>
        </w:rPr>
        <w:t>/h</w:t>
      </w:r>
      <w:r>
        <w:rPr>
          <w:spacing w:val="-2"/>
          <w:sz w:val="31"/>
        </w:rPr>
        <w:t>。各防烟分区内排烟风口距最远点的水平距离〈</w:t>
      </w:r>
      <w:r>
        <w:rPr>
          <w:sz w:val="31"/>
        </w:rPr>
        <w:t>30m</w:t>
      </w:r>
      <w:r>
        <w:rPr>
          <w:spacing w:val="-20"/>
          <w:sz w:val="31"/>
        </w:rPr>
        <w:t> 。</w:t>
      </w:r>
    </w:p>
    <w:p>
      <w:pPr>
        <w:pStyle w:val="ListParagraph"/>
        <w:numPr>
          <w:ilvl w:val="0"/>
          <w:numId w:val="3"/>
        </w:numPr>
        <w:tabs>
          <w:tab w:pos="947" w:val="left" w:leader="none"/>
        </w:tabs>
        <w:spacing w:line="395" w:lineRule="exact" w:before="0" w:after="0"/>
        <w:ind w:left="947" w:right="0" w:hanging="807"/>
        <w:jc w:val="both"/>
        <w:rPr>
          <w:sz w:val="31"/>
        </w:rPr>
      </w:pPr>
      <w:r>
        <w:rPr>
          <w:spacing w:val="2"/>
          <w:sz w:val="31"/>
        </w:rPr>
        <w:t>步行街中各精品店的排烟量由规范每平方米</w:t>
      </w:r>
      <w:r>
        <w:rPr>
          <w:sz w:val="31"/>
        </w:rPr>
        <w:t>120</w:t>
      </w:r>
      <w:r>
        <w:rPr>
          <w:spacing w:val="24"/>
          <w:sz w:val="31"/>
        </w:rPr>
        <w:t> </w:t>
      </w:r>
      <w:r>
        <w:rPr>
          <w:sz w:val="31"/>
        </w:rPr>
        <w:t>m</w:t>
      </w:r>
      <w:r>
        <w:rPr>
          <w:spacing w:val="41"/>
          <w:sz w:val="31"/>
        </w:rPr>
        <w:t> </w:t>
      </w:r>
      <w:r>
        <w:rPr>
          <w:sz w:val="31"/>
        </w:rPr>
        <w:t>/h</w:t>
      </w:r>
      <w:r>
        <w:rPr>
          <w:spacing w:val="-22"/>
          <w:sz w:val="31"/>
        </w:rPr>
        <w:t> 提高为每平方米 </w:t>
      </w:r>
      <w:r>
        <w:rPr>
          <w:sz w:val="31"/>
        </w:rPr>
        <w:t>150</w:t>
      </w:r>
      <w:r>
        <w:rPr>
          <w:spacing w:val="24"/>
          <w:sz w:val="31"/>
        </w:rPr>
        <w:t> </w:t>
      </w:r>
      <w:r>
        <w:rPr>
          <w:sz w:val="31"/>
        </w:rPr>
        <w:t>m</w:t>
      </w:r>
      <w:r>
        <w:rPr>
          <w:spacing w:val="42"/>
          <w:sz w:val="31"/>
        </w:rPr>
        <w:t> </w:t>
      </w:r>
      <w:r>
        <w:rPr>
          <w:spacing w:val="-17"/>
          <w:sz w:val="31"/>
        </w:rPr>
        <w:t>/h</w:t>
      </w:r>
      <w:r>
        <w:rPr>
          <w:sz w:val="31"/>
        </w:rPr>
        <w:t>。</w:t>
      </w:r>
    </w:p>
    <w:p>
      <w:pPr>
        <w:pStyle w:val="ListParagraph"/>
        <w:numPr>
          <w:ilvl w:val="0"/>
          <w:numId w:val="4"/>
        </w:numPr>
        <w:tabs>
          <w:tab w:pos="760" w:val="left" w:leader="none"/>
        </w:tabs>
        <w:spacing w:line="283" w:lineRule="auto" w:before="70" w:after="0"/>
        <w:ind w:left="140" w:right="421" w:firstLine="0"/>
        <w:jc w:val="both"/>
        <w:rPr>
          <w:sz w:val="31"/>
        </w:rPr>
      </w:pPr>
      <w:r>
        <w:rPr>
          <w:spacing w:val="-4"/>
          <w:sz w:val="31"/>
        </w:rPr>
        <w:t>步行街采用机械排烟， 其排烟量按消防性能化计算按 </w:t>
      </w:r>
      <w:r>
        <w:rPr>
          <w:sz w:val="31"/>
        </w:rPr>
        <w:t>50</w:t>
      </w:r>
      <w:r>
        <w:rPr>
          <w:spacing w:val="20"/>
          <w:sz w:val="31"/>
        </w:rPr>
        <w:t> 万立方米</w:t>
      </w:r>
      <w:r>
        <w:rPr>
          <w:spacing w:val="-40"/>
          <w:sz w:val="31"/>
        </w:rPr>
        <w:t>/</w:t>
      </w:r>
      <w:r>
        <w:rPr>
          <w:spacing w:val="-2"/>
          <w:sz w:val="31"/>
        </w:rPr>
        <w:t>时设计，排烟风机</w:t>
      </w:r>
      <w:r>
        <w:rPr>
          <w:spacing w:val="-15"/>
          <w:sz w:val="31"/>
        </w:rPr>
        <w:t>设置于屋面上,比常规要求增加近 </w:t>
      </w:r>
      <w:r>
        <w:rPr>
          <w:sz w:val="31"/>
        </w:rPr>
        <w:t>10</w:t>
      </w:r>
      <w:r>
        <w:rPr>
          <w:spacing w:val="-16"/>
          <w:sz w:val="31"/>
        </w:rPr>
        <w:t> 万立方米</w:t>
      </w:r>
      <w:r>
        <w:rPr>
          <w:spacing w:val="-40"/>
          <w:sz w:val="31"/>
        </w:rPr>
        <w:t>/</w:t>
      </w:r>
      <w:r>
        <w:rPr>
          <w:spacing w:val="-1"/>
          <w:sz w:val="31"/>
        </w:rPr>
        <w:t>时排烟量.</w:t>
      </w:r>
    </w:p>
    <w:p>
      <w:pPr>
        <w:pStyle w:val="ListParagraph"/>
        <w:numPr>
          <w:ilvl w:val="0"/>
          <w:numId w:val="4"/>
        </w:numPr>
        <w:tabs>
          <w:tab w:pos="749" w:val="left" w:leader="none"/>
        </w:tabs>
        <w:spacing w:line="396" w:lineRule="exact" w:before="0" w:after="0"/>
        <w:ind w:left="749" w:right="0" w:hanging="609"/>
        <w:jc w:val="both"/>
        <w:rPr>
          <w:sz w:val="31"/>
        </w:rPr>
      </w:pPr>
      <w:r>
        <w:rPr>
          <w:spacing w:val="-7"/>
          <w:sz w:val="31"/>
        </w:rPr>
        <w:t>影院各影厅为独立的防火单元,排烟量由规范每平方米 </w:t>
      </w:r>
      <w:r>
        <w:rPr>
          <w:sz w:val="31"/>
        </w:rPr>
        <w:t>60</w:t>
      </w:r>
      <w:r>
        <w:rPr>
          <w:spacing w:val="7"/>
          <w:sz w:val="31"/>
        </w:rPr>
        <w:t> </w:t>
      </w:r>
      <w:r>
        <w:rPr>
          <w:sz w:val="31"/>
        </w:rPr>
        <w:t>m</w:t>
      </w:r>
      <w:r>
        <w:rPr>
          <w:spacing w:val="137"/>
          <w:sz w:val="31"/>
        </w:rPr>
        <w:t> </w:t>
      </w:r>
      <w:r>
        <w:rPr>
          <w:sz w:val="31"/>
        </w:rPr>
        <w:t>/h</w:t>
      </w:r>
      <w:r>
        <w:rPr>
          <w:spacing w:val="-21"/>
          <w:sz w:val="31"/>
        </w:rPr>
        <w:t> 提高为每平方米 </w:t>
      </w:r>
      <w:r>
        <w:rPr>
          <w:sz w:val="31"/>
        </w:rPr>
        <w:t>90</w:t>
      </w:r>
      <w:r>
        <w:rPr>
          <w:spacing w:val="7"/>
          <w:sz w:val="31"/>
        </w:rPr>
        <w:t> </w:t>
      </w:r>
      <w:r>
        <w:rPr>
          <w:sz w:val="31"/>
        </w:rPr>
        <w:t>m</w:t>
      </w:r>
    </w:p>
    <w:p>
      <w:pPr>
        <w:pStyle w:val="BodyText"/>
        <w:spacing w:before="71"/>
      </w:pPr>
      <w:r>
        <w:rPr/>
        <w:t>/h，并有空调送风机作为消防排烟时的补风，其补风量大于排烟量的50%.</w:t>
      </w:r>
    </w:p>
    <w:p>
      <w:pPr>
        <w:pStyle w:val="ListParagraph"/>
        <w:numPr>
          <w:ilvl w:val="0"/>
          <w:numId w:val="4"/>
        </w:numPr>
        <w:tabs>
          <w:tab w:pos="694" w:val="left" w:leader="none"/>
          <w:tab w:pos="695" w:val="left" w:leader="none"/>
          <w:tab w:pos="8511" w:val="left" w:leader="none"/>
        </w:tabs>
        <w:spacing w:line="283" w:lineRule="auto" w:before="71" w:after="0"/>
        <w:ind w:left="140" w:right="419" w:firstLine="0"/>
        <w:jc w:val="left"/>
        <w:rPr>
          <w:sz w:val="31"/>
        </w:rPr>
      </w:pPr>
      <w:r>
        <w:rPr>
          <w:sz w:val="31"/>
        </w:rPr>
        <w:t>排烟管道必须采用不燃材料制作，安装于吊顶内的排烟管采用</w:t>
      </w:r>
      <w:r>
        <w:rPr>
          <w:spacing w:val="9"/>
          <w:sz w:val="31"/>
        </w:rPr>
        <w:t> </w:t>
      </w:r>
      <w:r>
        <w:rPr>
          <w:sz w:val="31"/>
        </w:rPr>
        <w:t>40</w:t>
      </w:r>
      <w:r>
        <w:rPr>
          <w:spacing w:val="114"/>
          <w:sz w:val="31"/>
        </w:rPr>
        <w:t> </w:t>
      </w:r>
      <w:r>
        <w:rPr>
          <w:sz w:val="31"/>
        </w:rPr>
        <w:t>毫米厚的外包不燃</w:t>
      </w:r>
      <w:r>
        <w:rPr>
          <w:spacing w:val="-19"/>
          <w:sz w:val="31"/>
        </w:rPr>
        <w:t>铝</w:t>
      </w:r>
      <w:r>
        <w:rPr>
          <w:sz w:val="31"/>
        </w:rPr>
        <w:t>箔离心玻璃棉</w:t>
      </w:r>
      <w:r>
        <w:rPr>
          <w:spacing w:val="-13"/>
          <w:sz w:val="31"/>
        </w:rPr>
        <w:t>（32K)</w:t>
      </w:r>
      <w:r>
        <w:rPr>
          <w:sz w:val="31"/>
        </w:rPr>
        <w:t>进行隔热，并与可燃物保持不</w:t>
      </w:r>
      <w:r>
        <w:rPr>
          <w:spacing w:val="55"/>
          <w:sz w:val="31"/>
        </w:rPr>
        <w:t>小</w:t>
      </w:r>
      <w:r>
        <w:rPr>
          <w:sz w:val="31"/>
        </w:rPr>
        <w:t>150MM</w:t>
        <w:tab/>
        <w:t>的距离。</w:t>
      </w:r>
    </w:p>
    <w:p>
      <w:pPr>
        <w:pStyle w:val="ListParagraph"/>
        <w:numPr>
          <w:ilvl w:val="0"/>
          <w:numId w:val="4"/>
        </w:numPr>
        <w:tabs>
          <w:tab w:pos="741" w:val="left" w:leader="none"/>
          <w:tab w:pos="742" w:val="left" w:leader="none"/>
        </w:tabs>
        <w:spacing w:line="396" w:lineRule="exact" w:before="0" w:after="0"/>
        <w:ind w:left="741" w:right="0" w:hanging="602"/>
        <w:jc w:val="left"/>
        <w:rPr>
          <w:sz w:val="31"/>
        </w:rPr>
      </w:pPr>
      <w:r>
        <w:rPr>
          <w:spacing w:val="-3"/>
          <w:sz w:val="31"/>
        </w:rPr>
        <w:t>设在顶棚上的排烟口,</w:t>
      </w:r>
      <w:r>
        <w:rPr>
          <w:spacing w:val="-313"/>
          <w:sz w:val="31"/>
        </w:rPr>
        <w:t>距</w:t>
      </w:r>
      <w:r>
        <w:rPr>
          <w:spacing w:val="3"/>
          <w:sz w:val="31"/>
        </w:rPr>
        <w:t>. 可燃构件或可燃物的距离不小于1</w:t>
      </w:r>
      <w:r>
        <w:rPr>
          <w:spacing w:val="-69"/>
          <w:sz w:val="31"/>
        </w:rPr>
        <w:t>。</w:t>
      </w:r>
      <w:r>
        <w:rPr>
          <w:sz w:val="31"/>
        </w:rPr>
        <w:t>00m</w:t>
      </w:r>
      <w:r>
        <w:rPr>
          <w:spacing w:val="-11"/>
          <w:sz w:val="31"/>
        </w:rPr>
        <w:t> ，多叶排烟风口均设手</w:t>
      </w:r>
    </w:p>
    <w:p>
      <w:pPr>
        <w:pStyle w:val="BodyText"/>
        <w:spacing w:before="72"/>
      </w:pPr>
      <w:r>
        <w:rPr/>
        <w:t>动装置必须设在人员便于操纵的高度（距地面1.5m)。</w:t>
      </w:r>
    </w:p>
    <w:p>
      <w:pPr>
        <w:pStyle w:val="BodyText"/>
        <w:ind w:left="0"/>
        <w:rPr>
          <w:sz w:val="42"/>
        </w:rPr>
      </w:pPr>
    </w:p>
    <w:p>
      <w:pPr>
        <w:pStyle w:val="BodyText"/>
        <w:tabs>
          <w:tab w:pos="1141" w:val="left" w:leader="none"/>
        </w:tabs>
      </w:pPr>
      <w:r>
        <w:rPr>
          <w:spacing w:val="-21"/>
        </w:rPr>
        <w:t>(3）</w:t>
        <w:tab/>
      </w:r>
      <w:r>
        <w:rPr/>
        <w:t>喷淋系统优化措施</w:t>
      </w:r>
    </w:p>
    <w:p>
      <w:pPr>
        <w:pStyle w:val="BodyText"/>
        <w:tabs>
          <w:tab w:pos="745" w:val="left" w:leader="none"/>
        </w:tabs>
        <w:spacing w:before="71"/>
      </w:pPr>
      <w:r>
        <w:rPr/>
        <w:t>a)</w:t>
        <w:tab/>
      </w:r>
      <w:r>
        <w:rPr>
          <w:spacing w:val="-2"/>
        </w:rPr>
        <w:t>精品店及电影厅喷头形式由常规的普通喷头改为快速响应喷头.</w:t>
      </w:r>
    </w:p>
    <w:p>
      <w:pPr>
        <w:pStyle w:val="BodyText"/>
        <w:tabs>
          <w:tab w:pos="972" w:val="left" w:leader="none"/>
          <w:tab w:pos="8612" w:val="left" w:leader="none"/>
        </w:tabs>
        <w:spacing w:line="283" w:lineRule="auto" w:before="71"/>
        <w:ind w:right="410"/>
      </w:pPr>
      <w:r>
        <w:rPr>
          <w:spacing w:val="3"/>
        </w:rPr>
        <w:t>b）</w:t>
        <w:tab/>
      </w:r>
      <w:r>
        <w:rPr/>
        <w:t>中庭回廊、精品店、电影厅、普通商场常规喷淋系统作用时间</w:t>
      </w:r>
      <w:r>
        <w:rPr>
          <w:spacing w:val="8"/>
        </w:rPr>
        <w:t>为</w:t>
      </w:r>
      <w:r>
        <w:rPr/>
        <w:t>1</w:t>
      </w:r>
      <w:r>
        <w:rPr>
          <w:spacing w:val="127"/>
        </w:rPr>
        <w:t> </w:t>
      </w:r>
      <w:r>
        <w:rPr/>
        <w:t>小时，相应喷淋</w:t>
      </w:r>
      <w:r>
        <w:rPr>
          <w:spacing w:val="-17"/>
        </w:rPr>
        <w:t>系</w:t>
      </w:r>
      <w:r>
        <w:rPr/>
        <w:t>统储水量为</w:t>
      </w:r>
      <w:r>
        <w:rPr>
          <w:spacing w:val="-62"/>
        </w:rPr>
        <w:t> </w:t>
      </w:r>
      <w:r>
        <w:rPr/>
        <w:t>108</w:t>
      </w:r>
      <w:r>
        <w:rPr>
          <w:spacing w:val="-6"/>
        </w:rPr>
        <w:t> </w:t>
      </w:r>
      <w:r>
        <w:rPr/>
        <w:t>m</w:t>
      </w:r>
      <w:r>
        <w:rPr>
          <w:spacing w:val="-34"/>
        </w:rPr>
        <w:t> </w:t>
      </w:r>
      <w:r>
        <w:rPr/>
        <w:t>，现上述场所的喷淋系统储水量为</w:t>
      </w:r>
      <w:r>
        <w:rPr>
          <w:spacing w:val="109"/>
        </w:rPr>
        <w:t> </w:t>
      </w:r>
      <w:r>
        <w:rPr/>
        <w:t>360</w:t>
      </w:r>
      <w:r>
        <w:rPr>
          <w:spacing w:val="-5"/>
        </w:rPr>
        <w:t> </w:t>
      </w:r>
      <w:r>
        <w:rPr/>
        <w:t>m</w:t>
        <w:tab/>
      </w:r>
      <w:r>
        <w:rPr>
          <w:spacing w:val="-83"/>
        </w:rPr>
        <w:t>,</w:t>
      </w:r>
      <w:r>
        <w:rPr/>
        <w:t>比常规增加了</w:t>
      </w:r>
      <w:r>
        <w:rPr>
          <w:spacing w:val="-76"/>
        </w:rPr>
        <w:t> </w:t>
      </w:r>
      <w:r>
        <w:rPr/>
        <w:t>252</w:t>
      </w:r>
      <w:r>
        <w:rPr>
          <w:spacing w:val="-13"/>
        </w:rPr>
        <w:t> </w:t>
      </w:r>
      <w:r>
        <w:rPr/>
        <w:t>m</w:t>
      </w:r>
      <w:r>
        <w:rPr>
          <w:spacing w:val="-47"/>
        </w:rPr>
        <w:t> </w:t>
      </w:r>
      <w:r>
        <w:rPr/>
        <w:t>，可满足上述场所</w:t>
      </w:r>
      <w:r>
        <w:rPr>
          <w:spacing w:val="-83"/>
        </w:rPr>
        <w:t> </w:t>
      </w:r>
      <w:r>
        <w:rPr/>
        <w:t>3</w:t>
      </w:r>
      <w:r>
        <w:rPr>
          <w:spacing w:val="-75"/>
        </w:rPr>
        <w:t> </w:t>
      </w:r>
      <w:r>
        <w:rPr/>
        <w:t>小时以上的喷淋用水</w:t>
      </w:r>
      <w:r>
        <w:rPr>
          <w:spacing w:val="-14"/>
        </w:rPr>
        <w:t>量</w:t>
      </w:r>
      <w:r>
        <w:rPr/>
        <w:t>.</w:t>
      </w:r>
    </w:p>
    <w:p>
      <w:pPr>
        <w:pStyle w:val="BodyText"/>
        <w:tabs>
          <w:tab w:pos="1141" w:val="left" w:leader="none"/>
        </w:tabs>
        <w:spacing w:line="395" w:lineRule="exact"/>
      </w:pPr>
      <w:r>
        <w:rPr>
          <w:spacing w:val="-21"/>
        </w:rPr>
        <w:t>(4）</w:t>
        <w:tab/>
      </w:r>
      <w:r>
        <w:rPr/>
        <w:t>电气系统优化措施</w:t>
      </w:r>
    </w:p>
    <w:p>
      <w:pPr>
        <w:pStyle w:val="BodyText"/>
        <w:tabs>
          <w:tab w:pos="745" w:val="left" w:leader="none"/>
        </w:tabs>
        <w:spacing w:before="71"/>
      </w:pPr>
      <w:r>
        <w:rPr/>
        <w:t>a)</w:t>
        <w:tab/>
        <w:t>火灾报警探测器选用海湾公司高灵敏度型探测器。</w:t>
      </w:r>
    </w:p>
    <w:p>
      <w:pPr>
        <w:pStyle w:val="BodyText"/>
        <w:tabs>
          <w:tab w:pos="979" w:val="left" w:leader="none"/>
        </w:tabs>
        <w:spacing w:before="70"/>
      </w:pPr>
      <w:r>
        <w:rPr>
          <w:spacing w:val="3"/>
        </w:rPr>
        <w:t>b）</w:t>
        <w:tab/>
      </w:r>
      <w:r>
        <w:rPr>
          <w:spacing w:val="1"/>
        </w:rPr>
        <w:t>备用照明的照度值除另有规定外，由高于该场所一般照明照度值的</w:t>
      </w:r>
      <w:r>
        <w:rPr/>
        <w:t>10%</w:t>
      </w:r>
      <w:r>
        <w:rPr>
          <w:spacing w:val="-12"/>
        </w:rPr>
        <w:t> 提高至 </w:t>
      </w:r>
      <w:r>
        <w:rPr>
          <w:spacing w:val="3"/>
        </w:rPr>
        <w:t>20</w:t>
      </w:r>
      <w:r>
        <w:rPr>
          <w:spacing w:val="1"/>
        </w:rPr>
        <w:t>％。</w:t>
      </w:r>
    </w:p>
    <w:p>
      <w:pPr>
        <w:pStyle w:val="BodyText"/>
        <w:tabs>
          <w:tab w:pos="727" w:val="left" w:leader="none"/>
          <w:tab w:pos="979" w:val="left" w:leader="none"/>
        </w:tabs>
        <w:spacing w:line="283" w:lineRule="auto" w:before="71"/>
        <w:ind w:right="3168"/>
      </w:pPr>
      <w:r>
        <w:rPr/>
        <w:t>c)</w:t>
        <w:tab/>
        <w:t>安全照明的照度值由高于该场所一般照明照度值</w:t>
      </w:r>
      <w:r>
        <w:rPr>
          <w:spacing w:val="41"/>
        </w:rPr>
        <w:t>的</w:t>
      </w:r>
      <w:r>
        <w:rPr/>
        <w:t>5％提高至</w:t>
      </w:r>
      <w:r>
        <w:rPr>
          <w:spacing w:val="67"/>
        </w:rPr>
        <w:t> </w:t>
      </w:r>
      <w:r>
        <w:rPr>
          <w:spacing w:val="-5"/>
        </w:rPr>
        <w:t>10%. </w:t>
      </w:r>
      <w:r>
        <w:rPr>
          <w:spacing w:val="3"/>
        </w:rPr>
        <w:t>d）</w:t>
        <w:tab/>
        <w:tab/>
      </w:r>
      <w:r>
        <w:rPr/>
        <w:t>疏散通道的疏散照明的照度值</w:t>
      </w:r>
      <w:r>
        <w:rPr>
          <w:spacing w:val="55"/>
        </w:rPr>
        <w:t>由</w:t>
      </w:r>
      <w:r>
        <w:rPr>
          <w:spacing w:val="-6"/>
        </w:rPr>
        <w:t>0.5LX</w:t>
      </w:r>
      <w:r>
        <w:rPr/>
        <w:t>提高至</w:t>
      </w:r>
      <w:r>
        <w:rPr>
          <w:spacing w:val="-75"/>
        </w:rPr>
        <w:t> </w:t>
      </w:r>
      <w:r>
        <w:rPr/>
        <w:t>1。</w:t>
      </w:r>
      <w:r>
        <w:rPr>
          <w:spacing w:val="-6"/>
        </w:rPr>
        <w:t>0LX</w:t>
      </w:r>
      <w:r>
        <w:rPr/>
        <w:t>。</w:t>
      </w:r>
    </w:p>
    <w:p>
      <w:pPr>
        <w:pStyle w:val="ListParagraph"/>
        <w:numPr>
          <w:ilvl w:val="0"/>
          <w:numId w:val="5"/>
        </w:numPr>
        <w:tabs>
          <w:tab w:pos="748" w:val="left" w:leader="none"/>
          <w:tab w:pos="749" w:val="left" w:leader="none"/>
        </w:tabs>
        <w:spacing w:line="396" w:lineRule="exact" w:before="0" w:after="0"/>
        <w:ind w:left="749" w:right="0" w:hanging="609"/>
        <w:jc w:val="left"/>
        <w:rPr>
          <w:sz w:val="31"/>
        </w:rPr>
      </w:pPr>
      <w:r>
        <w:rPr>
          <w:spacing w:val="-9"/>
          <w:sz w:val="31"/>
        </w:rPr>
        <w:t>墙面疏散标识间距由 </w:t>
      </w:r>
      <w:r>
        <w:rPr>
          <w:sz w:val="31"/>
        </w:rPr>
        <w:t>15</w:t>
      </w:r>
      <w:r>
        <w:rPr>
          <w:spacing w:val="-27"/>
          <w:sz w:val="31"/>
        </w:rPr>
        <w:t> 米缩小至 </w:t>
      </w:r>
      <w:r>
        <w:rPr>
          <w:sz w:val="31"/>
        </w:rPr>
        <w:t>10</w:t>
      </w:r>
      <w:r>
        <w:rPr>
          <w:spacing w:val="-24"/>
          <w:sz w:val="31"/>
        </w:rPr>
        <w:t> 米.</w:t>
      </w:r>
    </w:p>
    <w:p>
      <w:pPr>
        <w:pStyle w:val="ListParagraph"/>
        <w:numPr>
          <w:ilvl w:val="0"/>
          <w:numId w:val="5"/>
        </w:numPr>
        <w:tabs>
          <w:tab w:pos="694" w:val="left" w:leader="none"/>
          <w:tab w:pos="695" w:val="left" w:leader="none"/>
        </w:tabs>
        <w:spacing w:line="240" w:lineRule="auto" w:before="71" w:after="0"/>
        <w:ind w:left="695" w:right="0" w:hanging="555"/>
        <w:jc w:val="left"/>
        <w:rPr>
          <w:sz w:val="31"/>
        </w:rPr>
      </w:pPr>
      <w:r>
        <w:rPr>
          <w:sz w:val="31"/>
        </w:rPr>
        <w:t>设置电气火灾监控系统。</w:t>
      </w:r>
    </w:p>
    <w:p>
      <w:pPr>
        <w:pStyle w:val="BodyText"/>
        <w:spacing w:before="1"/>
        <w:ind w:left="0"/>
        <w:rPr>
          <w:sz w:val="42"/>
        </w:rPr>
      </w:pPr>
    </w:p>
    <w:p>
      <w:pPr>
        <w:pStyle w:val="BodyText"/>
        <w:jc w:val="both"/>
      </w:pPr>
      <w:r>
        <w:rPr/>
        <w:t>（四) 论证评估及深化设计</w:t>
      </w:r>
    </w:p>
    <w:p>
      <w:pPr>
        <w:pStyle w:val="BodyText"/>
        <w:spacing w:line="283" w:lineRule="auto" w:before="71"/>
        <w:ind w:right="427"/>
        <w:jc w:val="both"/>
      </w:pPr>
      <w:r>
        <w:rPr>
          <w:spacing w:val="-2"/>
        </w:rPr>
        <w:t>我们与合作单位对建筑消防设计做了多方面的研究，主浅谈大型城市综合体消防设计</w:t>
      </w:r>
      <w:r>
        <w:rPr/>
        <w:t>_</w:t>
      </w:r>
      <w:r>
        <w:rPr>
          <w:spacing w:val="-9"/>
        </w:rPr>
        <w:t>城市</w:t>
      </w:r>
      <w:r>
        <w:rPr>
          <w:spacing w:val="-3"/>
        </w:rPr>
        <w:t>综合体设计要包括各层火灾场景的演示，火灾增长速率的分析,最不利点人员安全疏散的模拟，烟气控制系统的设计等，使步行街“压安全区”的概念得到了有利的数据支持。</w:t>
      </w:r>
    </w:p>
    <w:p>
      <w:pPr>
        <w:pStyle w:val="BodyText"/>
        <w:spacing w:line="283" w:lineRule="auto"/>
        <w:ind w:right="369"/>
        <w:jc w:val="both"/>
      </w:pPr>
      <w:r>
        <w:rPr/>
        <w:t>09</w:t>
      </w:r>
      <w:r>
        <w:rPr>
          <w:spacing w:val="-18"/>
        </w:rPr>
        <w:t> 年 </w:t>
      </w:r>
      <w:r>
        <w:rPr/>
        <w:t>4</w:t>
      </w:r>
      <w:r>
        <w:rPr>
          <w:spacing w:val="-18"/>
        </w:rPr>
        <w:t> 月 </w:t>
      </w:r>
      <w:r>
        <w:rPr/>
        <w:t>29</w:t>
      </w:r>
      <w:r>
        <w:rPr>
          <w:spacing w:val="-10"/>
        </w:rPr>
        <w:t> 日召开了本项目的消防设计专家论证会，对项目的设计的消防问题、消防性能</w:t>
      </w:r>
      <w:r>
        <w:rPr/>
        <w:t>化设计分析以及相关加强措施进行审查</w:t>
      </w:r>
      <w:r>
        <w:rPr>
          <w:spacing w:val="-14"/>
        </w:rPr>
        <w:t>，会上专家一致认可了本项目的消防设计措施并提出相关修改意见，主要如下：</w:t>
      </w:r>
    </w:p>
    <w:p>
      <w:pPr>
        <w:pStyle w:val="BodyText"/>
        <w:tabs>
          <w:tab w:pos="900" w:val="left" w:leader="none"/>
        </w:tabs>
        <w:spacing w:line="283" w:lineRule="auto"/>
        <w:ind w:right="11406"/>
      </w:pPr>
      <w:r>
        <w:rPr/>
        <w:t>（1)</w:t>
      </w:r>
      <w:r>
        <w:rPr>
          <w:spacing w:val="-63"/>
        </w:rPr>
        <w:t> </w:t>
      </w:r>
      <w:r>
        <w:rPr/>
        <w:t>建 </w:t>
      </w:r>
      <w:r>
        <w:rPr>
          <w:spacing w:val="-16"/>
        </w:rPr>
        <w:t>筑</w:t>
      </w:r>
      <w:r>
        <w:rPr>
          <w:spacing w:val="3"/>
        </w:rPr>
        <w:t>1</w:t>
      </w:r>
      <w:r>
        <w:rPr/>
        <w:t>、</w:t>
        <w:tab/>
        <w:t>首层</w:t>
      </w:r>
    </w:p>
    <w:p>
      <w:pPr>
        <w:pStyle w:val="ListParagraph"/>
        <w:numPr>
          <w:ilvl w:val="0"/>
          <w:numId w:val="6"/>
        </w:numPr>
        <w:tabs>
          <w:tab w:pos="1116" w:val="left" w:leader="none"/>
          <w:tab w:pos="1117" w:val="left" w:leader="none"/>
        </w:tabs>
        <w:spacing w:line="397" w:lineRule="exact" w:before="0" w:after="0"/>
        <w:ind w:left="1116" w:right="0" w:hanging="977"/>
        <w:jc w:val="left"/>
        <w:rPr>
          <w:sz w:val="31"/>
        </w:rPr>
      </w:pPr>
      <w:r>
        <w:rPr>
          <w:spacing w:val="-2"/>
          <w:sz w:val="31"/>
        </w:rPr>
        <w:t>疏散外门宽度应适当加宽;</w:t>
      </w:r>
    </w:p>
    <w:p>
      <w:pPr>
        <w:pStyle w:val="ListParagraph"/>
        <w:numPr>
          <w:ilvl w:val="0"/>
          <w:numId w:val="6"/>
        </w:numPr>
        <w:tabs>
          <w:tab w:pos="1116" w:val="left" w:leader="none"/>
          <w:tab w:pos="1117" w:val="left" w:leader="none"/>
        </w:tabs>
        <w:spacing w:line="240" w:lineRule="auto" w:before="66" w:after="0"/>
        <w:ind w:left="1116" w:right="0" w:hanging="977"/>
        <w:jc w:val="left"/>
        <w:rPr>
          <w:sz w:val="31"/>
        </w:rPr>
      </w:pPr>
      <w:r>
        <w:rPr>
          <w:spacing w:val="-2"/>
          <w:sz w:val="31"/>
        </w:rPr>
        <w:t>靠外墙设置的楼梯间应设直通室外的安全出口;</w:t>
      </w:r>
    </w:p>
    <w:p>
      <w:pPr>
        <w:pStyle w:val="BodyText"/>
        <w:tabs>
          <w:tab w:pos="1566" w:val="left" w:leader="none"/>
        </w:tabs>
        <w:spacing w:before="71"/>
      </w:pPr>
      <w:r>
        <w:rPr>
          <w:w w:val="102"/>
        </w:rPr>
        <w:t>3)</w:t>
      </w:r>
      <w:r>
        <w:rPr/>
        <w:tab/>
      </w:r>
      <w:r>
        <w:rPr>
          <w:spacing w:val="-137"/>
          <w:w w:val="102"/>
        </w:rPr>
        <w:t>R</w:t>
      </w:r>
      <w:r>
        <w:rPr>
          <w:spacing w:val="-180"/>
          <w:w w:val="102"/>
        </w:rPr>
        <w:t>轴</w:t>
      </w:r>
      <w:r>
        <w:rPr>
          <w:w w:val="102"/>
        </w:rPr>
        <w:t>/</w:t>
      </w:r>
      <w:r>
        <w:rPr>
          <w:spacing w:val="-137"/>
          <w:w w:val="102"/>
        </w:rPr>
        <w:t>2</w:t>
      </w:r>
      <w:r>
        <w:rPr>
          <w:spacing w:val="-180"/>
          <w:w w:val="102"/>
        </w:rPr>
        <w:t>增</w:t>
      </w:r>
      <w:r>
        <w:rPr>
          <w:spacing w:val="21"/>
          <w:w w:val="102"/>
        </w:rPr>
        <w:t>6</w:t>
      </w:r>
      <w:r>
        <w:rPr>
          <w:w w:val="102"/>
        </w:rPr>
        <w:t>设疏散走道通向步行街；</w:t>
      </w:r>
    </w:p>
    <w:p>
      <w:pPr>
        <w:pStyle w:val="BodyText"/>
        <w:tabs>
          <w:tab w:pos="1083" w:val="left" w:leader="none"/>
        </w:tabs>
        <w:spacing w:line="283" w:lineRule="auto" w:before="71"/>
        <w:ind w:right="317"/>
      </w:pPr>
      <w:r>
        <w:rPr/>
        <w:t>4）</w:t>
        <w:tab/>
      </w:r>
      <w:r>
        <w:rPr>
          <w:spacing w:val="15"/>
        </w:rPr>
        <w:t>设计用于运动 </w:t>
      </w:r>
      <w:r>
        <w:rPr/>
        <w:t>100</w:t>
      </w:r>
      <w:r>
        <w:rPr>
          <w:spacing w:val="-1"/>
        </w:rPr>
        <w:t>、国美主力店划分防火分区的防火卷帘改为防火墙。当防火墙必须</w:t>
      </w:r>
      <w:r>
        <w:rPr>
          <w:spacing w:val="-10"/>
        </w:rPr>
        <w:t>开设门时,应设置火灾时能自动关闭的甲级防火门。</w:t>
      </w:r>
    </w:p>
    <w:p>
      <w:pPr>
        <w:pStyle w:val="BodyText"/>
        <w:tabs>
          <w:tab w:pos="900" w:val="left" w:leader="none"/>
        </w:tabs>
        <w:spacing w:line="396" w:lineRule="exact"/>
      </w:pPr>
      <w:r>
        <w:rPr>
          <w:spacing w:val="3"/>
        </w:rPr>
        <w:t>2</w:t>
      </w:r>
      <w:r>
        <w:rPr/>
        <w:t>、</w:t>
        <w:tab/>
        <w:t>楼梯间通向步行街的疏散走道，其两侧应采用耐火极限不低</w:t>
      </w:r>
      <w:r>
        <w:rPr>
          <w:spacing w:val="37"/>
        </w:rPr>
        <w:t>于</w:t>
      </w:r>
      <w:r>
        <w:rPr/>
        <w:t>1</w:t>
      </w:r>
      <w:r>
        <w:rPr>
          <w:spacing w:val="3"/>
        </w:rPr>
        <w:t>。</w:t>
      </w:r>
      <w:r>
        <w:rPr/>
        <w:t>0</w:t>
      </w:r>
      <w:r>
        <w:rPr>
          <w:spacing w:val="-19"/>
        </w:rPr>
        <w:t> </w:t>
      </w:r>
      <w:r>
        <w:rPr/>
        <w:t>小时的实体隔墙；</w:t>
      </w:r>
    </w:p>
    <w:p>
      <w:pPr>
        <w:pStyle w:val="BodyText"/>
        <w:tabs>
          <w:tab w:pos="900" w:val="left" w:leader="none"/>
        </w:tabs>
        <w:spacing w:before="71"/>
      </w:pPr>
      <w:r>
        <w:rPr>
          <w:spacing w:val="3"/>
        </w:rPr>
        <w:t>3</w:t>
      </w:r>
      <w:r>
        <w:rPr/>
        <w:t>、</w:t>
        <w:tab/>
        <w:t>直接开向营业厅的客、货电梯应设置独立的电梯</w:t>
      </w:r>
      <w:r>
        <w:rPr>
          <w:spacing w:val="-35"/>
        </w:rPr>
        <w:t>间</w:t>
      </w:r>
      <w:r>
        <w:rPr/>
        <w:t>;</w:t>
      </w:r>
    </w:p>
    <w:p>
      <w:pPr>
        <w:pStyle w:val="BodyText"/>
        <w:tabs>
          <w:tab w:pos="1040" w:val="left" w:leader="none"/>
        </w:tabs>
        <w:spacing w:before="71"/>
      </w:pPr>
      <w:r>
        <w:rPr>
          <w:spacing w:val="3"/>
          <w:w w:val="102"/>
        </w:rPr>
        <w:t>4</w:t>
      </w:r>
      <w:r>
        <w:rPr>
          <w:w w:val="102"/>
        </w:rPr>
        <w:t>、</w:t>
      </w:r>
      <w:r>
        <w:rPr/>
        <w:tab/>
      </w:r>
      <w:r>
        <w:rPr>
          <w:spacing w:val="-126"/>
          <w:w w:val="102"/>
        </w:rPr>
        <w:t>—</w:t>
      </w:r>
      <w:r>
        <w:rPr>
          <w:spacing w:val="-33"/>
          <w:w w:val="102"/>
        </w:rPr>
        <w:t>2</w:t>
      </w:r>
      <w:r>
        <w:rPr>
          <w:w w:val="102"/>
        </w:rPr>
        <w:t>3</w:t>
      </w:r>
      <w:r>
        <w:rPr>
          <w:spacing w:val="-76"/>
        </w:rPr>
        <w:t> </w:t>
      </w:r>
      <w:r>
        <w:rPr>
          <w:w w:val="102"/>
        </w:rPr>
        <w:t>层步行街尽头式精品店应设置两个疏散门，相邻两个疏散门最近边缘之间的水平</w:t>
      </w:r>
    </w:p>
    <w:p>
      <w:pPr>
        <w:spacing w:after="0"/>
        <w:sectPr>
          <w:pgSz w:w="17860" w:h="25260"/>
          <w:pgMar w:top="1880" w:bottom="280" w:left="2560" w:right="2260"/>
        </w:sectPr>
      </w:pPr>
    </w:p>
    <w:p>
      <w:pPr>
        <w:pStyle w:val="BodyText"/>
        <w:spacing w:before="29"/>
      </w:pPr>
      <w:r>
        <w:rPr/>
        <w:t>距离不小于 5 米;</w:t>
      </w:r>
    </w:p>
    <w:p>
      <w:pPr>
        <w:pStyle w:val="BodyText"/>
        <w:tabs>
          <w:tab w:pos="900" w:val="left" w:leader="none"/>
        </w:tabs>
        <w:spacing w:before="72"/>
      </w:pPr>
      <w:r>
        <w:rPr>
          <w:spacing w:val="3"/>
        </w:rPr>
        <w:t>5</w:t>
      </w:r>
      <w:r>
        <w:rPr/>
        <w:t>、</w:t>
        <w:tab/>
        <w:t>面向步行街布置的精品店每间建筑面积应控制</w:t>
      </w:r>
      <w:r>
        <w:rPr>
          <w:spacing w:val="48"/>
        </w:rPr>
        <w:t>在</w:t>
      </w:r>
      <w:r>
        <w:rPr/>
        <w:t>300</w:t>
      </w:r>
      <w:r>
        <w:rPr>
          <w:spacing w:val="-67"/>
        </w:rPr>
        <w:t> </w:t>
      </w:r>
      <w:r>
        <w:rPr/>
        <w:t>平方米以内；</w:t>
      </w:r>
    </w:p>
    <w:p>
      <w:pPr>
        <w:pStyle w:val="BodyText"/>
        <w:tabs>
          <w:tab w:pos="900" w:val="left" w:leader="none"/>
        </w:tabs>
        <w:spacing w:before="70"/>
      </w:pPr>
      <w:r>
        <w:rPr>
          <w:spacing w:val="3"/>
        </w:rPr>
        <w:t>6</w:t>
      </w:r>
      <w:r>
        <w:rPr/>
        <w:t>、</w:t>
        <w:tab/>
        <w:t>影院区域</w:t>
      </w:r>
      <w:r>
        <w:rPr>
          <w:spacing w:val="72"/>
        </w:rPr>
        <w:t>的</w:t>
      </w:r>
      <w:r>
        <w:rPr/>
        <w:t>D/3</w:t>
      </w:r>
      <w:r>
        <w:rPr>
          <w:spacing w:val="-74"/>
        </w:rPr>
        <w:t> </w:t>
      </w:r>
      <w:r>
        <w:rPr/>
        <w:t>轴楼梯应通至屋顶；</w:t>
      </w:r>
    </w:p>
    <w:p>
      <w:pPr>
        <w:pStyle w:val="BodyText"/>
        <w:tabs>
          <w:tab w:pos="907" w:val="left" w:leader="none"/>
        </w:tabs>
        <w:spacing w:line="283" w:lineRule="auto" w:before="71"/>
        <w:ind w:right="408"/>
      </w:pPr>
      <w:r>
        <w:rPr>
          <w:spacing w:val="3"/>
        </w:rPr>
        <w:t>7</w:t>
      </w:r>
      <w:r>
        <w:rPr/>
        <w:t>、</w:t>
        <w:tab/>
        <w:t>步行街中庭玻璃屋顶边缘距相邻外墙防火间距不足时，相邻建筑外墙应采取设置防</w:t>
      </w:r>
      <w:r>
        <w:rPr>
          <w:spacing w:val="-18"/>
        </w:rPr>
        <w:t>火</w:t>
      </w:r>
      <w:r>
        <w:rPr/>
        <w:t>墙或在外墙开口部位设置甲级防火门窗等防火分隔措施。</w:t>
      </w:r>
    </w:p>
    <w:p>
      <w:pPr>
        <w:pStyle w:val="BodyText"/>
        <w:spacing w:before="5"/>
        <w:ind w:left="0"/>
        <w:rPr>
          <w:sz w:val="36"/>
        </w:rPr>
      </w:pPr>
    </w:p>
    <w:p>
      <w:pPr>
        <w:pStyle w:val="BodyText"/>
        <w:tabs>
          <w:tab w:pos="997" w:val="left" w:leader="none"/>
        </w:tabs>
        <w:spacing w:before="1"/>
      </w:pPr>
      <w:r>
        <w:rPr>
          <w:spacing w:val="-21"/>
        </w:rPr>
        <w:t>(2）</w:t>
        <w:tab/>
      </w:r>
      <w:r>
        <w:rPr/>
        <w:t>消防给水：</w:t>
      </w:r>
    </w:p>
    <w:p>
      <w:pPr>
        <w:pStyle w:val="BodyText"/>
        <w:tabs>
          <w:tab w:pos="885" w:val="left" w:leader="none"/>
        </w:tabs>
        <w:spacing w:line="283" w:lineRule="auto" w:before="70"/>
        <w:ind w:right="427"/>
      </w:pPr>
      <w:r>
        <w:rPr>
          <w:spacing w:val="3"/>
        </w:rPr>
        <w:t>1</w:t>
      </w:r>
      <w:r>
        <w:rPr/>
        <w:t>、</w:t>
        <w:tab/>
        <w:t>用于保护面向步行街商铺钢化玻璃的水喷淋系统，其喷淋支管（水流指示器后</w:t>
      </w:r>
      <w:r>
        <w:rPr>
          <w:spacing w:val="-92"/>
        </w:rPr>
        <w:t>端</w:t>
      </w:r>
      <w:r>
        <w:rPr>
          <w:spacing w:val="-65"/>
        </w:rPr>
        <w:t>)</w:t>
      </w:r>
      <w:r>
        <w:rPr/>
        <w:t>应</w:t>
      </w:r>
      <w:r>
        <w:rPr>
          <w:spacing w:val="-16"/>
        </w:rPr>
        <w:t>独</w:t>
      </w:r>
      <w:r>
        <w:rPr/>
        <w:t>立设</w:t>
      </w:r>
      <w:r>
        <w:rPr>
          <w:spacing w:val="-4"/>
        </w:rPr>
        <w:t>置</w:t>
      </w:r>
      <w:r>
        <w:rPr>
          <w:spacing w:val="-80"/>
        </w:rPr>
        <w:t>,</w:t>
      </w:r>
      <w:r>
        <w:rPr/>
        <w:t>且持续喷水时间为</w:t>
      </w:r>
      <w:r>
        <w:rPr>
          <w:spacing w:val="-93"/>
        </w:rPr>
        <w:t> </w:t>
      </w:r>
      <w:r>
        <w:rPr/>
        <w:t>3</w:t>
      </w:r>
      <w:r>
        <w:rPr>
          <w:spacing w:val="-72"/>
        </w:rPr>
        <w:t> </w:t>
      </w:r>
      <w:r>
        <w:rPr/>
        <w:t>小时。</w:t>
      </w:r>
    </w:p>
    <w:p>
      <w:pPr>
        <w:pStyle w:val="BodyText"/>
        <w:tabs>
          <w:tab w:pos="900" w:val="left" w:leader="none"/>
        </w:tabs>
        <w:spacing w:line="396" w:lineRule="exact"/>
      </w:pPr>
      <w:r>
        <w:rPr>
          <w:spacing w:val="3"/>
        </w:rPr>
        <w:t>2</w:t>
      </w:r>
      <w:r>
        <w:rPr/>
        <w:t>、</w:t>
        <w:tab/>
        <w:t>屋顶高位消防水箱储水量的计算应按满足室</w:t>
      </w:r>
      <w:r>
        <w:rPr>
          <w:spacing w:val="44"/>
        </w:rPr>
        <w:t>内</w:t>
      </w:r>
      <w:r>
        <w:rPr/>
        <w:t>10</w:t>
      </w:r>
      <w:r>
        <w:rPr>
          <w:spacing w:val="-17"/>
        </w:rPr>
        <w:t> </w:t>
      </w:r>
      <w:r>
        <w:rPr/>
        <w:t>分钟消防用水确定，并应分设两个。</w:t>
      </w:r>
    </w:p>
    <w:p>
      <w:pPr>
        <w:pStyle w:val="BodyText"/>
        <w:tabs>
          <w:tab w:pos="918" w:val="left" w:leader="none"/>
        </w:tabs>
        <w:spacing w:line="283" w:lineRule="auto" w:before="71"/>
        <w:ind w:right="436"/>
      </w:pPr>
      <w:r>
        <w:rPr>
          <w:spacing w:val="7"/>
        </w:rPr>
        <w:t>3</w:t>
      </w:r>
      <w:r>
        <w:rPr/>
        <w:t>、</w:t>
        <w:tab/>
        <w:t>电影院喷淋系统设计时，喷淋强度应按火灾危险等级浅谈大型城市综合体消防设计</w:t>
      </w:r>
      <w:r>
        <w:rPr>
          <w:spacing w:val="23"/>
        </w:rPr>
        <w:t> </w:t>
      </w:r>
      <w:r>
        <w:rPr>
          <w:spacing w:val="-19"/>
        </w:rPr>
        <w:t>_ </w:t>
      </w:r>
      <w:r>
        <w:rPr/>
        <w:t>城市综合体设计为中危</w:t>
      </w:r>
      <w:r>
        <w:rPr>
          <w:spacing w:val="62"/>
        </w:rPr>
        <w:t>险</w:t>
      </w:r>
      <w:r>
        <w:rPr>
          <w:spacing w:val="-42"/>
        </w:rPr>
        <w:t>II</w:t>
      </w:r>
      <w:r>
        <w:rPr/>
        <w:t>级计</w:t>
      </w:r>
      <w:r>
        <w:rPr>
          <w:spacing w:val="-4"/>
        </w:rPr>
        <w:t>算</w:t>
      </w:r>
      <w:r>
        <w:rPr/>
        <w:t>.</w:t>
      </w:r>
    </w:p>
    <w:p>
      <w:pPr>
        <w:pStyle w:val="BodyText"/>
        <w:spacing w:before="6"/>
        <w:ind w:left="0"/>
        <w:rPr>
          <w:sz w:val="36"/>
        </w:rPr>
      </w:pPr>
    </w:p>
    <w:p>
      <w:pPr>
        <w:pStyle w:val="BodyText"/>
        <w:tabs>
          <w:tab w:pos="1216" w:val="left" w:leader="none"/>
        </w:tabs>
        <w:spacing w:before="1"/>
      </w:pPr>
      <w:r>
        <w:rPr/>
        <w:t>（3）</w:t>
        <w:tab/>
        <w:t>防排烟：</w:t>
      </w:r>
    </w:p>
    <w:p>
      <w:pPr>
        <w:pStyle w:val="BodyText"/>
        <w:tabs>
          <w:tab w:pos="900" w:val="left" w:leader="none"/>
        </w:tabs>
        <w:spacing w:before="70"/>
      </w:pPr>
      <w:r>
        <w:rPr>
          <w:spacing w:val="3"/>
        </w:rPr>
        <w:t>1</w:t>
      </w:r>
      <w:r>
        <w:rPr/>
        <w:t>、</w:t>
        <w:tab/>
        <w:t>用于划分防火分区的挡烟垂壁，从顶棚下垂高度不应小</w:t>
      </w:r>
      <w:r>
        <w:rPr>
          <w:spacing w:val="41"/>
        </w:rPr>
        <w:t>于</w:t>
      </w:r>
      <w:r>
        <w:rPr/>
        <w:t>0。70m.</w:t>
      </w:r>
    </w:p>
    <w:p>
      <w:pPr>
        <w:pStyle w:val="BodyText"/>
        <w:tabs>
          <w:tab w:pos="900" w:val="left" w:leader="none"/>
        </w:tabs>
        <w:spacing w:before="71"/>
      </w:pPr>
      <w:r>
        <w:rPr>
          <w:spacing w:val="3"/>
        </w:rPr>
        <w:t>2</w:t>
      </w:r>
      <w:r>
        <w:rPr/>
        <w:t>、</w:t>
        <w:tab/>
        <w:t>空调通风管道及保温材料均应采用不燃材</w:t>
      </w:r>
      <w:r>
        <w:rPr>
          <w:spacing w:val="-28"/>
        </w:rPr>
        <w:t>料</w:t>
      </w:r>
      <w:r>
        <w:rPr/>
        <w:t>.</w:t>
      </w:r>
    </w:p>
    <w:p>
      <w:pPr>
        <w:pStyle w:val="BodyText"/>
        <w:tabs>
          <w:tab w:pos="900" w:val="left" w:leader="none"/>
        </w:tabs>
        <w:spacing w:before="71"/>
      </w:pPr>
      <w:r>
        <w:rPr>
          <w:spacing w:val="3"/>
        </w:rPr>
        <w:t>3</w:t>
      </w:r>
      <w:r>
        <w:rPr/>
        <w:t>、</w:t>
        <w:tab/>
        <w:t>穿越步行街精品店之间隔墙的空调通风管道应设置防火阀。</w:t>
      </w:r>
    </w:p>
    <w:p>
      <w:pPr>
        <w:pStyle w:val="BodyText"/>
        <w:tabs>
          <w:tab w:pos="900" w:val="left" w:leader="none"/>
        </w:tabs>
        <w:spacing w:before="71"/>
      </w:pPr>
      <w:r>
        <w:rPr>
          <w:spacing w:val="3"/>
        </w:rPr>
        <w:t>4</w:t>
      </w:r>
      <w:r>
        <w:rPr/>
        <w:t>、</w:t>
        <w:tab/>
        <w:t>中庭机械排烟量应同时满足性能化计算结果及现行规范要求。</w:t>
      </w:r>
    </w:p>
    <w:p>
      <w:pPr>
        <w:pStyle w:val="BodyText"/>
        <w:ind w:left="0"/>
        <w:rPr>
          <w:sz w:val="42"/>
        </w:rPr>
      </w:pPr>
    </w:p>
    <w:p>
      <w:pPr>
        <w:pStyle w:val="BodyText"/>
        <w:spacing w:line="283" w:lineRule="auto"/>
        <w:ind w:right="410"/>
      </w:pPr>
      <w:r>
        <w:rPr>
          <w:spacing w:val="-14"/>
        </w:rPr>
        <w:t>结合以上各方意见,我院各专业人员继续修改、深化设计,最终完成符合消防安全的设计图纸</w:t>
      </w:r>
      <w:r>
        <w:rPr>
          <w:spacing w:val="-8"/>
        </w:rPr>
        <w:t>交付业主施工。本项目于 </w:t>
      </w:r>
      <w:r>
        <w:rPr/>
        <w:t>09</w:t>
      </w:r>
      <w:r>
        <w:rPr>
          <w:spacing w:val="-44"/>
        </w:rPr>
        <w:t> 年 </w:t>
      </w:r>
      <w:r>
        <w:rPr/>
        <w:t>12</w:t>
      </w:r>
      <w:r>
        <w:rPr>
          <w:spacing w:val="-17"/>
        </w:rPr>
        <w:t> 月竣工并通过消防验收,于当月 </w:t>
      </w:r>
      <w:r>
        <w:rPr/>
        <w:t>18</w:t>
      </w:r>
      <w:r>
        <w:rPr>
          <w:spacing w:val="-10"/>
        </w:rPr>
        <w:t> 是正式开业。</w:t>
      </w:r>
    </w:p>
    <w:p>
      <w:pPr>
        <w:pStyle w:val="BodyText"/>
        <w:spacing w:before="6"/>
        <w:ind w:left="0"/>
        <w:rPr>
          <w:sz w:val="36"/>
        </w:rPr>
      </w:pPr>
    </w:p>
    <w:p>
      <w:pPr>
        <w:pStyle w:val="BodyText"/>
        <w:spacing w:line="283" w:lineRule="auto"/>
        <w:ind w:right="397"/>
        <w:jc w:val="both"/>
      </w:pPr>
      <w:r>
        <w:rPr>
          <w:spacing w:val="-15"/>
        </w:rPr>
        <w:t>回顾整个过程，项目设计历经三年时间，我院各专业人员对本项目的设计工作付出了大量的</w:t>
      </w:r>
      <w:r>
        <w:rPr>
          <w:spacing w:val="-14"/>
        </w:rPr>
        <w:t>心血很辛苦，但从中也学习到很多，看到南京建邺万达广场如期开业，并成为河西的标志性建筑，也感到欣慰.同时在与万达公司合作的过程中，我们充分体会了万达企业的文化、浅 </w:t>
      </w:r>
      <w:r>
        <w:rPr>
          <w:spacing w:val="-8"/>
        </w:rPr>
        <w:t>谈大型城市综合体消防设计</w:t>
      </w:r>
      <w:r>
        <w:rPr>
          <w:spacing w:val="3"/>
        </w:rPr>
        <w:t>_</w:t>
      </w:r>
      <w:r>
        <w:rPr>
          <w:spacing w:val="-3"/>
        </w:rPr>
        <w:t>城市综合体设计企业精神及企业速度 .对万达商业地产的设计理念有了深刻的理解。</w:t>
      </w:r>
    </w:p>
    <w:sectPr>
      <w:pgSz w:w="17860" w:h="25260"/>
      <w:pgMar w:top="1880" w:bottom="280" w:left="2560" w:right="2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幼圆">
    <w:altName w:val="幼圆"/>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1116" w:hanging="976"/>
        <w:jc w:val="left"/>
      </w:pPr>
      <w:rPr>
        <w:rFonts w:hint="default" w:ascii="幼圆" w:hAnsi="幼圆" w:eastAsia="幼圆" w:cs="幼圆"/>
        <w:spacing w:val="0"/>
        <w:w w:val="102"/>
        <w:sz w:val="31"/>
        <w:szCs w:val="31"/>
      </w:rPr>
    </w:lvl>
    <w:lvl w:ilvl="1">
      <w:start w:val="0"/>
      <w:numFmt w:val="bullet"/>
      <w:lvlText w:val="•"/>
      <w:lvlJc w:val="left"/>
      <w:pPr>
        <w:ind w:left="2311" w:hanging="976"/>
      </w:pPr>
      <w:rPr>
        <w:rFonts w:hint="default"/>
      </w:rPr>
    </w:lvl>
    <w:lvl w:ilvl="2">
      <w:start w:val="0"/>
      <w:numFmt w:val="bullet"/>
      <w:lvlText w:val="•"/>
      <w:lvlJc w:val="left"/>
      <w:pPr>
        <w:ind w:left="3503" w:hanging="976"/>
      </w:pPr>
      <w:rPr>
        <w:rFonts w:hint="default"/>
      </w:rPr>
    </w:lvl>
    <w:lvl w:ilvl="3">
      <w:start w:val="0"/>
      <w:numFmt w:val="bullet"/>
      <w:lvlText w:val="•"/>
      <w:lvlJc w:val="left"/>
      <w:pPr>
        <w:ind w:left="4695" w:hanging="976"/>
      </w:pPr>
      <w:rPr>
        <w:rFonts w:hint="default"/>
      </w:rPr>
    </w:lvl>
    <w:lvl w:ilvl="4">
      <w:start w:val="0"/>
      <w:numFmt w:val="bullet"/>
      <w:lvlText w:val="•"/>
      <w:lvlJc w:val="left"/>
      <w:pPr>
        <w:ind w:left="5887" w:hanging="976"/>
      </w:pPr>
      <w:rPr>
        <w:rFonts w:hint="default"/>
      </w:rPr>
    </w:lvl>
    <w:lvl w:ilvl="5">
      <w:start w:val="0"/>
      <w:numFmt w:val="bullet"/>
      <w:lvlText w:val="•"/>
      <w:lvlJc w:val="left"/>
      <w:pPr>
        <w:ind w:left="7079" w:hanging="976"/>
      </w:pPr>
      <w:rPr>
        <w:rFonts w:hint="default"/>
      </w:rPr>
    </w:lvl>
    <w:lvl w:ilvl="6">
      <w:start w:val="0"/>
      <w:numFmt w:val="bullet"/>
      <w:lvlText w:val="•"/>
      <w:lvlJc w:val="left"/>
      <w:pPr>
        <w:ind w:left="8271" w:hanging="976"/>
      </w:pPr>
      <w:rPr>
        <w:rFonts w:hint="default"/>
      </w:rPr>
    </w:lvl>
    <w:lvl w:ilvl="7">
      <w:start w:val="0"/>
      <w:numFmt w:val="bullet"/>
      <w:lvlText w:val="•"/>
      <w:lvlJc w:val="left"/>
      <w:pPr>
        <w:ind w:left="9463" w:hanging="976"/>
      </w:pPr>
      <w:rPr>
        <w:rFonts w:hint="default"/>
      </w:rPr>
    </w:lvl>
    <w:lvl w:ilvl="8">
      <w:start w:val="0"/>
      <w:numFmt w:val="bullet"/>
      <w:lvlText w:val="•"/>
      <w:lvlJc w:val="left"/>
      <w:pPr>
        <w:ind w:left="10655" w:hanging="976"/>
      </w:pPr>
      <w:rPr>
        <w:rFonts w:hint="default"/>
      </w:rPr>
    </w:lvl>
  </w:abstractNum>
  <w:abstractNum w:abstractNumId="4">
    <w:multiLevelType w:val="hybridMultilevel"/>
    <w:lvl w:ilvl="0">
      <w:start w:val="5"/>
      <w:numFmt w:val="lowerLetter"/>
      <w:lvlText w:val="%1)"/>
      <w:lvlJc w:val="left"/>
      <w:pPr>
        <w:ind w:left="749" w:hanging="609"/>
        <w:jc w:val="left"/>
      </w:pPr>
      <w:rPr>
        <w:rFonts w:hint="default" w:ascii="幼圆" w:hAnsi="幼圆" w:eastAsia="幼圆" w:cs="幼圆"/>
        <w:w w:val="102"/>
        <w:sz w:val="31"/>
        <w:szCs w:val="31"/>
      </w:rPr>
    </w:lvl>
    <w:lvl w:ilvl="1">
      <w:start w:val="0"/>
      <w:numFmt w:val="bullet"/>
      <w:lvlText w:val="•"/>
      <w:lvlJc w:val="left"/>
      <w:pPr>
        <w:ind w:left="1969" w:hanging="609"/>
      </w:pPr>
      <w:rPr>
        <w:rFonts w:hint="default"/>
      </w:rPr>
    </w:lvl>
    <w:lvl w:ilvl="2">
      <w:start w:val="0"/>
      <w:numFmt w:val="bullet"/>
      <w:lvlText w:val="•"/>
      <w:lvlJc w:val="left"/>
      <w:pPr>
        <w:ind w:left="3199" w:hanging="609"/>
      </w:pPr>
      <w:rPr>
        <w:rFonts w:hint="default"/>
      </w:rPr>
    </w:lvl>
    <w:lvl w:ilvl="3">
      <w:start w:val="0"/>
      <w:numFmt w:val="bullet"/>
      <w:lvlText w:val="•"/>
      <w:lvlJc w:val="left"/>
      <w:pPr>
        <w:ind w:left="4429" w:hanging="609"/>
      </w:pPr>
      <w:rPr>
        <w:rFonts w:hint="default"/>
      </w:rPr>
    </w:lvl>
    <w:lvl w:ilvl="4">
      <w:start w:val="0"/>
      <w:numFmt w:val="bullet"/>
      <w:lvlText w:val="•"/>
      <w:lvlJc w:val="left"/>
      <w:pPr>
        <w:ind w:left="5659" w:hanging="609"/>
      </w:pPr>
      <w:rPr>
        <w:rFonts w:hint="default"/>
      </w:rPr>
    </w:lvl>
    <w:lvl w:ilvl="5">
      <w:start w:val="0"/>
      <w:numFmt w:val="bullet"/>
      <w:lvlText w:val="•"/>
      <w:lvlJc w:val="left"/>
      <w:pPr>
        <w:ind w:left="6889" w:hanging="609"/>
      </w:pPr>
      <w:rPr>
        <w:rFonts w:hint="default"/>
      </w:rPr>
    </w:lvl>
    <w:lvl w:ilvl="6">
      <w:start w:val="0"/>
      <w:numFmt w:val="bullet"/>
      <w:lvlText w:val="•"/>
      <w:lvlJc w:val="left"/>
      <w:pPr>
        <w:ind w:left="8119" w:hanging="609"/>
      </w:pPr>
      <w:rPr>
        <w:rFonts w:hint="default"/>
      </w:rPr>
    </w:lvl>
    <w:lvl w:ilvl="7">
      <w:start w:val="0"/>
      <w:numFmt w:val="bullet"/>
      <w:lvlText w:val="•"/>
      <w:lvlJc w:val="left"/>
      <w:pPr>
        <w:ind w:left="9349" w:hanging="609"/>
      </w:pPr>
      <w:rPr>
        <w:rFonts w:hint="default"/>
      </w:rPr>
    </w:lvl>
    <w:lvl w:ilvl="8">
      <w:start w:val="0"/>
      <w:numFmt w:val="bullet"/>
      <w:lvlText w:val="•"/>
      <w:lvlJc w:val="left"/>
      <w:pPr>
        <w:ind w:left="10579" w:hanging="609"/>
      </w:pPr>
      <w:rPr>
        <w:rFonts w:hint="default"/>
      </w:rPr>
    </w:lvl>
  </w:abstractNum>
  <w:abstractNum w:abstractNumId="3">
    <w:multiLevelType w:val="hybridMultilevel"/>
    <w:lvl w:ilvl="0">
      <w:start w:val="4"/>
      <w:numFmt w:val="lowerLetter"/>
      <w:lvlText w:val="%1)"/>
      <w:lvlJc w:val="left"/>
      <w:pPr>
        <w:ind w:left="140" w:hanging="619"/>
        <w:jc w:val="left"/>
      </w:pPr>
      <w:rPr>
        <w:rFonts w:hint="default" w:ascii="幼圆" w:hAnsi="幼圆" w:eastAsia="幼圆" w:cs="幼圆"/>
        <w:w w:val="102"/>
        <w:sz w:val="31"/>
        <w:szCs w:val="31"/>
      </w:rPr>
    </w:lvl>
    <w:lvl w:ilvl="1">
      <w:start w:val="0"/>
      <w:numFmt w:val="bullet"/>
      <w:lvlText w:val="•"/>
      <w:lvlJc w:val="left"/>
      <w:pPr>
        <w:ind w:left="1429" w:hanging="619"/>
      </w:pPr>
      <w:rPr>
        <w:rFonts w:hint="default"/>
      </w:rPr>
    </w:lvl>
    <w:lvl w:ilvl="2">
      <w:start w:val="0"/>
      <w:numFmt w:val="bullet"/>
      <w:lvlText w:val="•"/>
      <w:lvlJc w:val="left"/>
      <w:pPr>
        <w:ind w:left="2719" w:hanging="619"/>
      </w:pPr>
      <w:rPr>
        <w:rFonts w:hint="default"/>
      </w:rPr>
    </w:lvl>
    <w:lvl w:ilvl="3">
      <w:start w:val="0"/>
      <w:numFmt w:val="bullet"/>
      <w:lvlText w:val="•"/>
      <w:lvlJc w:val="left"/>
      <w:pPr>
        <w:ind w:left="4009" w:hanging="619"/>
      </w:pPr>
      <w:rPr>
        <w:rFonts w:hint="default"/>
      </w:rPr>
    </w:lvl>
    <w:lvl w:ilvl="4">
      <w:start w:val="0"/>
      <w:numFmt w:val="bullet"/>
      <w:lvlText w:val="•"/>
      <w:lvlJc w:val="left"/>
      <w:pPr>
        <w:ind w:left="5299" w:hanging="619"/>
      </w:pPr>
      <w:rPr>
        <w:rFonts w:hint="default"/>
      </w:rPr>
    </w:lvl>
    <w:lvl w:ilvl="5">
      <w:start w:val="0"/>
      <w:numFmt w:val="bullet"/>
      <w:lvlText w:val="•"/>
      <w:lvlJc w:val="left"/>
      <w:pPr>
        <w:ind w:left="6589" w:hanging="619"/>
      </w:pPr>
      <w:rPr>
        <w:rFonts w:hint="default"/>
      </w:rPr>
    </w:lvl>
    <w:lvl w:ilvl="6">
      <w:start w:val="0"/>
      <w:numFmt w:val="bullet"/>
      <w:lvlText w:val="•"/>
      <w:lvlJc w:val="left"/>
      <w:pPr>
        <w:ind w:left="7879" w:hanging="619"/>
      </w:pPr>
      <w:rPr>
        <w:rFonts w:hint="default"/>
      </w:rPr>
    </w:lvl>
    <w:lvl w:ilvl="7">
      <w:start w:val="0"/>
      <w:numFmt w:val="bullet"/>
      <w:lvlText w:val="•"/>
      <w:lvlJc w:val="left"/>
      <w:pPr>
        <w:ind w:left="9169" w:hanging="619"/>
      </w:pPr>
      <w:rPr>
        <w:rFonts w:hint="default"/>
      </w:rPr>
    </w:lvl>
    <w:lvl w:ilvl="8">
      <w:start w:val="0"/>
      <w:numFmt w:val="bullet"/>
      <w:lvlText w:val="•"/>
      <w:lvlJc w:val="left"/>
      <w:pPr>
        <w:ind w:left="10459" w:hanging="619"/>
      </w:pPr>
      <w:rPr>
        <w:rFonts w:hint="default"/>
      </w:rPr>
    </w:lvl>
  </w:abstractNum>
  <w:abstractNum w:abstractNumId="2">
    <w:multiLevelType w:val="hybridMultilevel"/>
    <w:lvl w:ilvl="0">
      <w:start w:val="1"/>
      <w:numFmt w:val="lowerLetter"/>
      <w:lvlText w:val="%1）"/>
      <w:lvlJc w:val="left"/>
      <w:pPr>
        <w:ind w:left="140" w:hanging="817"/>
        <w:jc w:val="left"/>
      </w:pPr>
      <w:rPr>
        <w:rFonts w:hint="default" w:ascii="幼圆" w:hAnsi="幼圆" w:eastAsia="幼圆" w:cs="幼圆"/>
        <w:spacing w:val="-8"/>
        <w:w w:val="102"/>
        <w:sz w:val="31"/>
        <w:szCs w:val="31"/>
      </w:rPr>
    </w:lvl>
    <w:lvl w:ilvl="1">
      <w:start w:val="0"/>
      <w:numFmt w:val="bullet"/>
      <w:lvlText w:val="•"/>
      <w:lvlJc w:val="left"/>
      <w:pPr>
        <w:ind w:left="1429" w:hanging="817"/>
      </w:pPr>
      <w:rPr>
        <w:rFonts w:hint="default"/>
      </w:rPr>
    </w:lvl>
    <w:lvl w:ilvl="2">
      <w:start w:val="0"/>
      <w:numFmt w:val="bullet"/>
      <w:lvlText w:val="•"/>
      <w:lvlJc w:val="left"/>
      <w:pPr>
        <w:ind w:left="2719" w:hanging="817"/>
      </w:pPr>
      <w:rPr>
        <w:rFonts w:hint="default"/>
      </w:rPr>
    </w:lvl>
    <w:lvl w:ilvl="3">
      <w:start w:val="0"/>
      <w:numFmt w:val="bullet"/>
      <w:lvlText w:val="•"/>
      <w:lvlJc w:val="left"/>
      <w:pPr>
        <w:ind w:left="4009" w:hanging="817"/>
      </w:pPr>
      <w:rPr>
        <w:rFonts w:hint="default"/>
      </w:rPr>
    </w:lvl>
    <w:lvl w:ilvl="4">
      <w:start w:val="0"/>
      <w:numFmt w:val="bullet"/>
      <w:lvlText w:val="•"/>
      <w:lvlJc w:val="left"/>
      <w:pPr>
        <w:ind w:left="5299" w:hanging="817"/>
      </w:pPr>
      <w:rPr>
        <w:rFonts w:hint="default"/>
      </w:rPr>
    </w:lvl>
    <w:lvl w:ilvl="5">
      <w:start w:val="0"/>
      <w:numFmt w:val="bullet"/>
      <w:lvlText w:val="•"/>
      <w:lvlJc w:val="left"/>
      <w:pPr>
        <w:ind w:left="6589" w:hanging="817"/>
      </w:pPr>
      <w:rPr>
        <w:rFonts w:hint="default"/>
      </w:rPr>
    </w:lvl>
    <w:lvl w:ilvl="6">
      <w:start w:val="0"/>
      <w:numFmt w:val="bullet"/>
      <w:lvlText w:val="•"/>
      <w:lvlJc w:val="left"/>
      <w:pPr>
        <w:ind w:left="7879" w:hanging="817"/>
      </w:pPr>
      <w:rPr>
        <w:rFonts w:hint="default"/>
      </w:rPr>
    </w:lvl>
    <w:lvl w:ilvl="7">
      <w:start w:val="0"/>
      <w:numFmt w:val="bullet"/>
      <w:lvlText w:val="•"/>
      <w:lvlJc w:val="left"/>
      <w:pPr>
        <w:ind w:left="9169" w:hanging="817"/>
      </w:pPr>
      <w:rPr>
        <w:rFonts w:hint="default"/>
      </w:rPr>
    </w:lvl>
    <w:lvl w:ilvl="8">
      <w:start w:val="0"/>
      <w:numFmt w:val="bullet"/>
      <w:lvlText w:val="•"/>
      <w:lvlJc w:val="left"/>
      <w:pPr>
        <w:ind w:left="10459" w:hanging="817"/>
      </w:pPr>
      <w:rPr>
        <w:rFonts w:hint="default"/>
      </w:rPr>
    </w:lvl>
  </w:abstractNum>
  <w:abstractNum w:abstractNumId="1">
    <w:multiLevelType w:val="hybridMultilevel"/>
    <w:lvl w:ilvl="0">
      <w:start w:val="3"/>
      <w:numFmt w:val="lowerLetter"/>
      <w:lvlText w:val="%1)"/>
      <w:lvlJc w:val="left"/>
      <w:pPr>
        <w:ind w:left="140" w:hanging="587"/>
        <w:jc w:val="left"/>
      </w:pPr>
      <w:rPr>
        <w:rFonts w:hint="default" w:ascii="幼圆" w:hAnsi="幼圆" w:eastAsia="幼圆" w:cs="幼圆"/>
        <w:w w:val="102"/>
        <w:sz w:val="31"/>
        <w:szCs w:val="31"/>
      </w:rPr>
    </w:lvl>
    <w:lvl w:ilvl="1">
      <w:start w:val="0"/>
      <w:numFmt w:val="bullet"/>
      <w:lvlText w:val="•"/>
      <w:lvlJc w:val="left"/>
      <w:pPr>
        <w:ind w:left="1429" w:hanging="587"/>
      </w:pPr>
      <w:rPr>
        <w:rFonts w:hint="default"/>
      </w:rPr>
    </w:lvl>
    <w:lvl w:ilvl="2">
      <w:start w:val="0"/>
      <w:numFmt w:val="bullet"/>
      <w:lvlText w:val="•"/>
      <w:lvlJc w:val="left"/>
      <w:pPr>
        <w:ind w:left="2719" w:hanging="587"/>
      </w:pPr>
      <w:rPr>
        <w:rFonts w:hint="default"/>
      </w:rPr>
    </w:lvl>
    <w:lvl w:ilvl="3">
      <w:start w:val="0"/>
      <w:numFmt w:val="bullet"/>
      <w:lvlText w:val="•"/>
      <w:lvlJc w:val="left"/>
      <w:pPr>
        <w:ind w:left="4009" w:hanging="587"/>
      </w:pPr>
      <w:rPr>
        <w:rFonts w:hint="default"/>
      </w:rPr>
    </w:lvl>
    <w:lvl w:ilvl="4">
      <w:start w:val="0"/>
      <w:numFmt w:val="bullet"/>
      <w:lvlText w:val="•"/>
      <w:lvlJc w:val="left"/>
      <w:pPr>
        <w:ind w:left="5299" w:hanging="587"/>
      </w:pPr>
      <w:rPr>
        <w:rFonts w:hint="default"/>
      </w:rPr>
    </w:lvl>
    <w:lvl w:ilvl="5">
      <w:start w:val="0"/>
      <w:numFmt w:val="bullet"/>
      <w:lvlText w:val="•"/>
      <w:lvlJc w:val="left"/>
      <w:pPr>
        <w:ind w:left="6589" w:hanging="587"/>
      </w:pPr>
      <w:rPr>
        <w:rFonts w:hint="default"/>
      </w:rPr>
    </w:lvl>
    <w:lvl w:ilvl="6">
      <w:start w:val="0"/>
      <w:numFmt w:val="bullet"/>
      <w:lvlText w:val="•"/>
      <w:lvlJc w:val="left"/>
      <w:pPr>
        <w:ind w:left="7879" w:hanging="587"/>
      </w:pPr>
      <w:rPr>
        <w:rFonts w:hint="default"/>
      </w:rPr>
    </w:lvl>
    <w:lvl w:ilvl="7">
      <w:start w:val="0"/>
      <w:numFmt w:val="bullet"/>
      <w:lvlText w:val="•"/>
      <w:lvlJc w:val="left"/>
      <w:pPr>
        <w:ind w:left="9169" w:hanging="587"/>
      </w:pPr>
      <w:rPr>
        <w:rFonts w:hint="default"/>
      </w:rPr>
    </w:lvl>
    <w:lvl w:ilvl="8">
      <w:start w:val="0"/>
      <w:numFmt w:val="bullet"/>
      <w:lvlText w:val="•"/>
      <w:lvlJc w:val="left"/>
      <w:pPr>
        <w:ind w:left="10459" w:hanging="587"/>
      </w:pPr>
      <w:rPr>
        <w:rFonts w:hint="default"/>
      </w:rPr>
    </w:lvl>
  </w:abstractNum>
  <w:abstractNum w:abstractNumId="0">
    <w:multiLevelType w:val="hybridMultilevel"/>
    <w:lvl w:ilvl="0">
      <w:start w:val="1"/>
      <w:numFmt w:val="lowerLetter"/>
      <w:lvlText w:val="%1）"/>
      <w:lvlJc w:val="left"/>
      <w:pPr>
        <w:ind w:left="965" w:hanging="825"/>
        <w:jc w:val="left"/>
      </w:pPr>
      <w:rPr>
        <w:rFonts w:hint="default" w:ascii="幼圆" w:hAnsi="幼圆" w:eastAsia="幼圆" w:cs="幼圆"/>
        <w:spacing w:val="-8"/>
        <w:w w:val="102"/>
        <w:sz w:val="31"/>
        <w:szCs w:val="31"/>
      </w:rPr>
    </w:lvl>
    <w:lvl w:ilvl="1">
      <w:start w:val="0"/>
      <w:numFmt w:val="bullet"/>
      <w:lvlText w:val="•"/>
      <w:lvlJc w:val="left"/>
      <w:pPr>
        <w:ind w:left="2167" w:hanging="825"/>
      </w:pPr>
      <w:rPr>
        <w:rFonts w:hint="default"/>
      </w:rPr>
    </w:lvl>
    <w:lvl w:ilvl="2">
      <w:start w:val="0"/>
      <w:numFmt w:val="bullet"/>
      <w:lvlText w:val="•"/>
      <w:lvlJc w:val="left"/>
      <w:pPr>
        <w:ind w:left="3375" w:hanging="825"/>
      </w:pPr>
      <w:rPr>
        <w:rFonts w:hint="default"/>
      </w:rPr>
    </w:lvl>
    <w:lvl w:ilvl="3">
      <w:start w:val="0"/>
      <w:numFmt w:val="bullet"/>
      <w:lvlText w:val="•"/>
      <w:lvlJc w:val="left"/>
      <w:pPr>
        <w:ind w:left="4583" w:hanging="825"/>
      </w:pPr>
      <w:rPr>
        <w:rFonts w:hint="default"/>
      </w:rPr>
    </w:lvl>
    <w:lvl w:ilvl="4">
      <w:start w:val="0"/>
      <w:numFmt w:val="bullet"/>
      <w:lvlText w:val="•"/>
      <w:lvlJc w:val="left"/>
      <w:pPr>
        <w:ind w:left="5791" w:hanging="825"/>
      </w:pPr>
      <w:rPr>
        <w:rFonts w:hint="default"/>
      </w:rPr>
    </w:lvl>
    <w:lvl w:ilvl="5">
      <w:start w:val="0"/>
      <w:numFmt w:val="bullet"/>
      <w:lvlText w:val="•"/>
      <w:lvlJc w:val="left"/>
      <w:pPr>
        <w:ind w:left="6999" w:hanging="825"/>
      </w:pPr>
      <w:rPr>
        <w:rFonts w:hint="default"/>
      </w:rPr>
    </w:lvl>
    <w:lvl w:ilvl="6">
      <w:start w:val="0"/>
      <w:numFmt w:val="bullet"/>
      <w:lvlText w:val="•"/>
      <w:lvlJc w:val="left"/>
      <w:pPr>
        <w:ind w:left="8207" w:hanging="825"/>
      </w:pPr>
      <w:rPr>
        <w:rFonts w:hint="default"/>
      </w:rPr>
    </w:lvl>
    <w:lvl w:ilvl="7">
      <w:start w:val="0"/>
      <w:numFmt w:val="bullet"/>
      <w:lvlText w:val="•"/>
      <w:lvlJc w:val="left"/>
      <w:pPr>
        <w:ind w:left="9415" w:hanging="825"/>
      </w:pPr>
      <w:rPr>
        <w:rFonts w:hint="default"/>
      </w:rPr>
    </w:lvl>
    <w:lvl w:ilvl="8">
      <w:start w:val="0"/>
      <w:numFmt w:val="bullet"/>
      <w:lvlText w:val="•"/>
      <w:lvlJc w:val="left"/>
      <w:pPr>
        <w:ind w:left="10623" w:hanging="825"/>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幼圆" w:hAnsi="幼圆" w:eastAsia="幼圆" w:cs="幼圆"/>
    </w:rPr>
  </w:style>
  <w:style w:styleId="BodyText" w:type="paragraph">
    <w:name w:val="Body Text"/>
    <w:basedOn w:val="Normal"/>
    <w:uiPriority w:val="1"/>
    <w:qFormat/>
    <w:pPr>
      <w:ind w:left="140"/>
    </w:pPr>
    <w:rPr>
      <w:rFonts w:ascii="幼圆" w:hAnsi="幼圆" w:eastAsia="幼圆" w:cs="幼圆"/>
      <w:sz w:val="31"/>
      <w:szCs w:val="31"/>
    </w:rPr>
  </w:style>
  <w:style w:styleId="ListParagraph" w:type="paragraph">
    <w:name w:val="List Paragraph"/>
    <w:basedOn w:val="Normal"/>
    <w:uiPriority w:val="1"/>
    <w:qFormat/>
    <w:pPr>
      <w:ind w:left="140"/>
      <w:jc w:val="both"/>
    </w:pPr>
    <w:rPr>
      <w:rFonts w:ascii="幼圆" w:hAnsi="幼圆" w:eastAsia="幼圆" w:cs="幼圆"/>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2022-03-14T04:30:22Z</dcterms:created>
  <dcterms:modified xsi:type="dcterms:W3CDTF">2022-03-14T04:30:22Z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LastSaved">
    <vt:filetime>2022-03-14T00:00:00Z</vt:filetime>
  </property>
</Properties>
</file>