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Calibri"/>
        </w:rPr>
      </w:pPr>
      <w:bookmarkStart w:id="0" w:name="_Hlk23501351"/>
      <w:bookmarkStart w:id="1" w:name="_Toc415143481"/>
      <w:bookmarkStart w:id="2" w:name="_Toc418070112"/>
      <w:bookmarkStart w:id="3" w:name="_Toc415142861"/>
      <w:bookmarkStart w:id="4" w:name="OLE_LINK13"/>
      <w:bookmarkStart w:id="5" w:name="OLE_LINK40"/>
      <w:bookmarkStart w:id="6" w:name="_Toc415818939"/>
      <w:bookmarkStart w:id="7" w:name="_Toc517262917"/>
      <w:bookmarkStart w:id="8" w:name="_Toc453597319"/>
      <w:bookmarkStart w:id="9" w:name="OLE_LINK39"/>
      <w:bookmarkStart w:id="10" w:name="_Toc438987549"/>
      <w:bookmarkStart w:id="11" w:name="OLE_LINK24"/>
      <w:bookmarkStart w:id="12" w:name="_Toc481801204"/>
      <w:bookmarkStart w:id="13" w:name="OLE_LINK15"/>
      <w:r>
        <w:drawing>
          <wp:inline distT="0" distB="0" distL="114300" distR="114300">
            <wp:extent cx="2412365" cy="1097915"/>
            <wp:effectExtent l="0" t="0" r="6985" b="6985"/>
            <wp:docPr id="5" name="图片 5"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logo"/>
                    <pic:cNvPicPr>
                      <a:picLocks noChangeAspect="1"/>
                    </pic:cNvPicPr>
                  </pic:nvPicPr>
                  <pic:blipFill>
                    <a:blip r:embed="rId7"/>
                    <a:stretch>
                      <a:fillRect/>
                    </a:stretch>
                  </pic:blipFill>
                  <pic:spPr>
                    <a:xfrm>
                      <a:off x="0" y="0"/>
                      <a:ext cx="2412365" cy="1097915"/>
                    </a:xfrm>
                    <a:prstGeom prst="rect">
                      <a:avLst/>
                    </a:prstGeom>
                  </pic:spPr>
                </pic:pic>
              </a:graphicData>
            </a:graphic>
          </wp:inline>
        </w:drawing>
      </w:r>
      <w:r>
        <w:drawing>
          <wp:anchor distT="0" distB="0" distL="114300" distR="114300" simplePos="0" relativeHeight="251663360" behindDoc="1" locked="0" layoutInCell="1" allowOverlap="1">
            <wp:simplePos x="0" y="0"/>
            <wp:positionH relativeFrom="column">
              <wp:posOffset>-770890</wp:posOffset>
            </wp:positionH>
            <wp:positionV relativeFrom="paragraph">
              <wp:posOffset>-1134110</wp:posOffset>
            </wp:positionV>
            <wp:extent cx="7702550" cy="10934700"/>
            <wp:effectExtent l="0" t="0" r="1270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7702550" cy="10934700"/>
                    </a:xfrm>
                    <a:prstGeom prst="rect">
                      <a:avLst/>
                    </a:prstGeom>
                    <a:noFill/>
                    <a:ln>
                      <a:noFill/>
                    </a:ln>
                  </pic:spPr>
                </pic:pic>
              </a:graphicData>
            </a:graphic>
          </wp:anchor>
        </w:drawing>
      </w:r>
      <w:r>
        <w:rPr>
          <w:rFonts w:cs="Calibri"/>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8863965</wp:posOffset>
                </wp:positionV>
                <wp:extent cx="5048250" cy="327660"/>
                <wp:effectExtent l="0" t="0" r="0" b="0"/>
                <wp:wrapNone/>
                <wp:docPr id="1438" name="Text Box 1438"/>
                <wp:cNvGraphicFramePr/>
                <a:graphic xmlns:a="http://schemas.openxmlformats.org/drawingml/2006/main">
                  <a:graphicData uri="http://schemas.microsoft.com/office/word/2010/wordprocessingShape">
                    <wps:wsp>
                      <wps:cNvSpPr txBox="1"/>
                      <wps:spPr>
                        <a:xfrm>
                          <a:off x="0" y="0"/>
                          <a:ext cx="5048250" cy="3278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b/>
                                <w:color w:val="FFFFFF" w:themeColor="background1"/>
                                <w:szCs w:val="22"/>
                                <w14:textFill>
                                  <w14:solidFill>
                                    <w14:schemeClr w14:val="bg1"/>
                                  </w14:solidFill>
                                </w14:textFill>
                              </w:rPr>
                            </w:pPr>
                            <w:r>
                              <w:rPr>
                                <w:b/>
                                <w:szCs w:val="22"/>
                              </w:rPr>
                              <w:t xml:space="preserve">Copyright © QYResearch | market@qyresearch.com | </w:t>
                            </w:r>
                            <w:r>
                              <w:rPr>
                                <w:b/>
                                <w:color w:val="FFFFFF" w:themeColor="background1"/>
                                <w:szCs w:val="22"/>
                                <w14:textFill>
                                  <w14:solidFill>
                                    <w14:schemeClr w14:val="bg1"/>
                                  </w14:solidFill>
                                </w14:textFill>
                              </w:rPr>
                              <w:t>www.qyresearch.com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438" o:spid="_x0000_s1026" o:spt="202" type="#_x0000_t202" style="position:absolute;left:0pt;margin-top:697.95pt;height:25.8pt;width:397.5pt;mso-position-horizontal:center;mso-position-horizontal-relative:margin;z-index:251659264;mso-width-relative:page;mso-height-relative:page;" filled="f" stroked="f" coordsize="21600,21600" o:gfxdata="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RDn/toAAAAKAQAADwAAAAAAAAABACAAAAAiAAAAZHJzL2Rvd25yZXYu&#10;eG1sUEsBAhQAFAAAAAgAh07iQMHwJl0yAgAAeQQAAA4AAAAAAAAAAQAgAAAAKQEAAGRycy9lMm9E&#10;b2MueG1sUEsFBgAAAAAGAAYAWQEAAM0FAAAAAA==&#10;">
                <v:fill on="f" focussize="0,0"/>
                <v:stroke on="f" weight="0.5pt"/>
                <v:imagedata o:title=""/>
                <o:lock v:ext="edit" aspectratio="f"/>
                <v:textbox>
                  <w:txbxContent>
                    <w:p>
                      <w:pPr>
                        <w:jc w:val="center"/>
                        <w:rPr>
                          <w:b/>
                          <w:color w:val="FFFFFF" w:themeColor="background1"/>
                          <w:szCs w:val="22"/>
                          <w14:textFill>
                            <w14:solidFill>
                              <w14:schemeClr w14:val="bg1"/>
                            </w14:solidFill>
                          </w14:textFill>
                        </w:rPr>
                      </w:pPr>
                      <w:r>
                        <w:rPr>
                          <w:b/>
                          <w:szCs w:val="22"/>
                        </w:rPr>
                        <w:t xml:space="preserve">Copyright © QYResearch | market@qyresearch.com | </w:t>
                      </w:r>
                      <w:r>
                        <w:rPr>
                          <w:b/>
                          <w:color w:val="FFFFFF" w:themeColor="background1"/>
                          <w:szCs w:val="22"/>
                          <w14:textFill>
                            <w14:solidFill>
                              <w14:schemeClr w14:val="bg1"/>
                            </w14:solidFill>
                          </w14:textFill>
                        </w:rPr>
                        <w:t>www.qyresearch.com</w:t>
                      </w:r>
                    </w:p>
                  </w:txbxContent>
                </v:textbox>
              </v:shape>
            </w:pict>
          </mc:Fallback>
        </mc:AlternateContent>
      </w:r>
      <w:r>
        <w:rPr>
          <w:rFonts w:cs="Calibri"/>
        </w:rPr>
        <mc:AlternateContent>
          <mc:Choice Requires="wps">
            <w:drawing>
              <wp:anchor distT="0" distB="0" distL="114300" distR="114300" simplePos="0" relativeHeight="251660288" behindDoc="0" locked="0" layoutInCell="1" allowOverlap="1">
                <wp:simplePos x="0" y="0"/>
                <wp:positionH relativeFrom="column">
                  <wp:posOffset>-283845</wp:posOffset>
                </wp:positionH>
                <wp:positionV relativeFrom="paragraph">
                  <wp:posOffset>2054860</wp:posOffset>
                </wp:positionV>
                <wp:extent cx="6337300" cy="1769110"/>
                <wp:effectExtent l="0" t="0" r="0" b="2540"/>
                <wp:wrapNone/>
                <wp:docPr id="1346" name="Text Box 479"/>
                <wp:cNvGraphicFramePr/>
                <a:graphic xmlns:a="http://schemas.openxmlformats.org/drawingml/2006/main">
                  <a:graphicData uri="http://schemas.microsoft.com/office/word/2010/wordprocessingShape">
                    <wps:wsp>
                      <wps:cNvSpPr txBox="1">
                        <a:spLocks noChangeArrowheads="1"/>
                      </wps:cNvSpPr>
                      <wps:spPr bwMode="auto">
                        <a:xfrm>
                          <a:off x="0" y="0"/>
                          <a:ext cx="6337005" cy="1769423"/>
                        </a:xfrm>
                        <a:prstGeom prst="rect">
                          <a:avLst/>
                        </a:prstGeom>
                        <a:noFill/>
                        <a:ln w="9525">
                          <a:noFill/>
                          <a:miter lim="800000"/>
                        </a:ln>
                        <a:effectLst/>
                      </wps:spPr>
                      <wps:txbx>
                        <w:txbxContent>
                          <w:p>
                            <w:pPr>
                              <w:widowControl/>
                              <w:topLinePunct w:val="0"/>
                              <w:jc w:val="left"/>
                              <w:rPr>
                                <w:rFonts w:ascii="Century Gothic" w:hAnsi="Century Gothic" w:cs="Arial"/>
                                <w:b/>
                                <w:color w:val="002060"/>
                                <w:spacing w:val="-30"/>
                                <w:kern w:val="0"/>
                                <w:sz w:val="56"/>
                                <w:szCs w:val="56"/>
                              </w:rPr>
                            </w:pPr>
                            <w:r>
                              <w:rPr>
                                <w:rFonts w:hint="eastAsia" w:ascii="Century Gothic" w:hAnsi="Century Gothic" w:cs="Arial"/>
                                <w:b/>
                                <w:color w:val="002060"/>
                                <w:spacing w:val="-30"/>
                                <w:kern w:val="0"/>
                                <w:sz w:val="56"/>
                                <w:szCs w:val="56"/>
                              </w:rPr>
                              <w:t>工业水力挖掘服务</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wps:txbx>
                      <wps:bodyPr rot="0" vert="horz" wrap="square" lIns="91440" tIns="45720" rIns="91440" bIns="45720" anchor="t" anchorCtr="0">
                        <a:noAutofit/>
                      </wps:bodyPr>
                    </wps:wsp>
                  </a:graphicData>
                </a:graphic>
              </wp:anchor>
            </w:drawing>
          </mc:Choice>
          <mc:Fallback>
            <w:pict>
              <v:shape id="Text Box 479" o:spid="_x0000_s1026" o:spt="202" type="#_x0000_t202" style="position:absolute;left:0pt;margin-left:-22.35pt;margin-top:161.8pt;height:139.3pt;width:499pt;z-index:251660288;mso-width-relative:page;mso-height-relative:page;" filled="f" stroked="f" coordsize="21600,21600" o:gfxdata="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vbpbNkA&#10;AAALAQAADwAAAAAAAAABACAAAAAiAAAAZHJzL2Rvd25yZXYueG1sUEsBAhQAFAAAAAgAh07iQBDM&#10;BnIeAgAAPAQAAA4AAAAAAAAAAQAgAAAAKAEAAGRycy9lMm9Eb2MueG1sUEsFBgAAAAAGAAYAWQEA&#10;ALgFAAAAAA==&#10;">
                <v:fill on="f" focussize="0,0"/>
                <v:stroke on="f" miterlimit="8" joinstyle="miter"/>
                <v:imagedata o:title=""/>
                <o:lock v:ext="edit" aspectratio="f"/>
                <v:textbox>
                  <w:txbxContent>
                    <w:p>
                      <w:pPr>
                        <w:widowControl/>
                        <w:topLinePunct w:val="0"/>
                        <w:jc w:val="left"/>
                        <w:rPr>
                          <w:rFonts w:ascii="Century Gothic" w:hAnsi="Century Gothic" w:cs="Arial"/>
                          <w:b/>
                          <w:color w:val="002060"/>
                          <w:spacing w:val="-30"/>
                          <w:kern w:val="0"/>
                          <w:sz w:val="56"/>
                          <w:szCs w:val="56"/>
                        </w:rPr>
                      </w:pPr>
                      <w:r>
                        <w:rPr>
                          <w:rFonts w:hint="eastAsia" w:ascii="Century Gothic" w:hAnsi="Century Gothic" w:cs="Arial"/>
                          <w:b/>
                          <w:color w:val="002060"/>
                          <w:spacing w:val="-30"/>
                          <w:kern w:val="0"/>
                          <w:sz w:val="56"/>
                          <w:szCs w:val="56"/>
                        </w:rPr>
                        <w:t>工业水力挖掘服务</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v:textbox>
              </v:shape>
            </w:pict>
          </mc:Fallback>
        </mc:AlternateContent>
      </w:r>
      <w:r>
        <w:rPr>
          <w:rFonts w:cs="Calibri"/>
        </w:rPr>
        <mc:AlternateContent>
          <mc:Choice Requires="wps">
            <w:drawing>
              <wp:anchor distT="0" distB="0" distL="114300" distR="114300" simplePos="0" relativeHeight="251661312" behindDoc="0" locked="0" layoutInCell="1" allowOverlap="1">
                <wp:simplePos x="0" y="0"/>
                <wp:positionH relativeFrom="column">
                  <wp:posOffset>-153035</wp:posOffset>
                </wp:positionH>
                <wp:positionV relativeFrom="paragraph">
                  <wp:posOffset>3918585</wp:posOffset>
                </wp:positionV>
                <wp:extent cx="4971415" cy="0"/>
                <wp:effectExtent l="0" t="19050" r="19685" b="19050"/>
                <wp:wrapNone/>
                <wp:docPr id="1348" name="Straight Connector 38"/>
                <wp:cNvGraphicFramePr/>
                <a:graphic xmlns:a="http://schemas.openxmlformats.org/drawingml/2006/main">
                  <a:graphicData uri="http://schemas.microsoft.com/office/word/2010/wordprocessingShape">
                    <wps:wsp>
                      <wps:cNvCnPr/>
                      <wps:spPr>
                        <a:xfrm>
                          <a:off x="0" y="0"/>
                          <a:ext cx="4971415" cy="0"/>
                        </a:xfrm>
                        <a:prstGeom prst="line">
                          <a:avLst/>
                        </a:prstGeom>
                        <a:ln w="28575">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8" o:spid="_x0000_s1026" o:spt="20" style="position:absolute;left:0pt;margin-left:-12.05pt;margin-top:308.55pt;height:0pt;width:391.45pt;z-index:251661312;mso-width-relative:page;mso-height-relative:page;" filled="f" stroked="t" coordsize="21600,21600" o:gfxdata="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Wn7DY2QAAAAsBAAAPAAAA&#10;AAAAAAEAIAAAACIAAABkcnMvZG93bnJldi54bWxQSwECFAAUAAAACACHTuJAS6AeHNsBAAC5AwAA&#10;DgAAAAAAAAABACAAAAAoAQAAZHJzL2Uyb0RvYy54bWxQSwUGAAAAAAYABgBZAQAAdQUAAAAA&#10;">
                <v:fill on="f" focussize="0,0"/>
                <v:stroke weight="2.25pt" color="#FFC000 [3207]" miterlimit="8" joinstyle="miter"/>
                <v:imagedata o:title=""/>
                <o:lock v:ext="edit" aspectratio="f"/>
              </v:line>
            </w:pict>
          </mc:Fallback>
        </mc:AlternateContent>
      </w:r>
      <w:r>
        <w:rPr>
          <w:rFonts w:cs="Calibri"/>
        </w:rPr>
        <w:drawing>
          <wp:anchor distT="0" distB="0" distL="114300" distR="114300" simplePos="0" relativeHeight="251662336" behindDoc="1" locked="0" layoutInCell="1" allowOverlap="1">
            <wp:simplePos x="0" y="0"/>
            <wp:positionH relativeFrom="page">
              <wp:posOffset>-62230</wp:posOffset>
            </wp:positionH>
            <wp:positionV relativeFrom="page">
              <wp:posOffset>-37465</wp:posOffset>
            </wp:positionV>
            <wp:extent cx="7665085" cy="1073467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7665079" cy="10734675"/>
                    </a:xfrm>
                    <a:prstGeom prst="rect">
                      <a:avLst/>
                    </a:prstGeom>
                  </pic:spPr>
                </pic:pic>
              </a:graphicData>
            </a:graphic>
          </wp:anchor>
        </w:drawing>
      </w:r>
    </w:p>
    <w:p>
      <w:pPr>
        <w:sectPr>
          <w:headerReference r:id="rId5" w:type="first"/>
          <w:headerReference r:id="rId4" w:type="even"/>
          <w:pgSz w:w="11906" w:h="16838"/>
          <w:pgMar w:top="1418" w:right="1134" w:bottom="851" w:left="1134" w:header="709" w:footer="567" w:gutter="0"/>
          <w:pgNumType w:start="0"/>
          <w:cols w:space="708" w:num="1"/>
          <w:docGrid w:linePitch="360" w:charSpace="0"/>
        </w:sectPr>
      </w:pPr>
    </w:p>
    <w:bookmarkEnd w:id="0"/>
    <w:p>
      <w:pPr>
        <w:pStyle w:val="167"/>
        <w:rPr>
          <w:lang w:eastAsia="zh-CN"/>
        </w:rPr>
      </w:pPr>
      <w:r>
        <w:rPr>
          <w:rFonts w:hint="eastAsia"/>
          <w:lang w:eastAsia="zh-CN"/>
        </w:rPr>
        <w:t>工业水力挖掘服务全球市场总体规模</w:t>
      </w:r>
    </w:p>
    <w:p>
      <w:pPr>
        <w:widowControl/>
        <w:topLinePunct w:val="0"/>
        <w:spacing w:after="0"/>
        <w:rPr>
          <w:rFonts w:ascii="宋体" w:hAnsi="宋体" w:cs="宋体"/>
          <w:kern w:val="0"/>
          <w:sz w:val="24"/>
          <w:szCs w:val="24"/>
        </w:rPr>
      </w:pPr>
      <w:r>
        <w:rPr>
          <w:rFonts w:hint="eastAsia" w:ascii="宋体" w:hAnsi="宋体" w:cs="宋体"/>
          <w:kern w:val="0"/>
          <w:sz w:val="24"/>
          <w:szCs w:val="24"/>
        </w:rPr>
        <w:t>工业水力真空挖掘服务是一种利用高压水流和真空技术结合进行挖掘和清理的。该服务通过使用高压水流和真空系统，将土壤、岩石、淤泥和其他材料从挖掘区域吸走，同时将其收集和储存。</w:t>
      </w:r>
    </w:p>
    <w:p>
      <w:pPr>
        <w:widowControl/>
        <w:topLinePunct w:val="0"/>
        <w:spacing w:after="0"/>
        <w:rPr>
          <w:rFonts w:ascii="宋体" w:hAnsi="宋体" w:cs="宋体"/>
          <w:kern w:val="0"/>
          <w:sz w:val="24"/>
          <w:szCs w:val="24"/>
        </w:rPr>
      </w:pPr>
      <w:r>
        <w:rPr>
          <w:rFonts w:hint="eastAsia" w:ascii="宋体" w:hAnsi="宋体" w:cs="宋体"/>
          <w:kern w:val="0"/>
          <w:sz w:val="24"/>
          <w:szCs w:val="24"/>
        </w:rPr>
        <w:t>据QYResearch调研团队最新报告“全球工业水力挖掘服务市场报告2023-2029”显示，2023年全球工业水力挖掘服务市场规模大约为6206.8百万美元，预计2029年将达到8313.4百万美元，未来几年年复合增长率CAGR为5.0%。</w:t>
      </w:r>
    </w:p>
    <w:p>
      <w:pPr>
        <w:pStyle w:val="148"/>
        <w:rPr>
          <w:lang w:eastAsia="zh-CN"/>
        </w:rPr>
      </w:pPr>
      <w:r>
        <w:rPr>
          <w:rFonts w:hint="eastAsia"/>
          <w:lang w:eastAsia="zh-CN"/>
        </w:rPr>
        <w:t>全球</w:t>
      </w:r>
      <w:r>
        <w:rPr>
          <w:lang w:eastAsia="zh-CN"/>
        </w:rPr>
        <w:t>工业水力挖掘服务</w:t>
      </w:r>
      <w:r>
        <w:rPr>
          <w:rFonts w:hint="eastAsia"/>
          <w:lang w:eastAsia="zh-CN"/>
        </w:rPr>
        <w:t>市场总体规模（百万美元）&amp;（</w:t>
      </w:r>
      <w:r>
        <w:rPr>
          <w:lang w:eastAsia="zh-CN"/>
        </w:rPr>
        <w:t>2018-2029</w:t>
      </w:r>
      <w:r>
        <w:rPr>
          <w:rFonts w:hint="eastAsia"/>
          <w:lang w:eastAsia="zh-CN"/>
        </w:rPr>
        <w:t>）</w:t>
      </w:r>
    </w:p>
    <w:p>
      <w:pPr>
        <w:pStyle w:val="145"/>
        <w:rPr>
          <w:lang w:val="en-US" w:eastAsia="zh-CN"/>
        </w:rPr>
      </w:pPr>
      <w:r>
        <w:rPr>
          <w:lang w:val="en-US" w:eastAsia="zh-CN"/>
        </w:rPr>
        <w:drawing>
          <wp:inline distT="0" distB="0" distL="0" distR="0">
            <wp:extent cx="6120765" cy="2883535"/>
            <wp:effectExtent l="0" t="0" r="0" b="0"/>
            <wp:docPr id="11245321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532130"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120765" cy="2883535"/>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工业水力挖掘服务</w:t>
      </w:r>
      <w:r>
        <w:rPr>
          <w:rFonts w:hint="eastAsia"/>
          <w:lang w:eastAsia="zh-CN"/>
        </w:rPr>
        <w:t>市场研究报告2023-2029</w:t>
      </w:r>
      <w:r>
        <w:rPr>
          <w:lang w:eastAsia="zh-CN"/>
        </w:rPr>
        <w:t>.</w:t>
      </w:r>
    </w:p>
    <w:p>
      <w:pPr>
        <w:pStyle w:val="145"/>
        <w:rPr>
          <w:lang w:eastAsia="zh-CN"/>
        </w:rPr>
      </w:pPr>
      <w:r>
        <w:rPr>
          <w:rFonts w:hint="eastAsia"/>
          <w:lang w:eastAsia="zh-CN"/>
        </w:rPr>
        <w:t>主要驱动因素</w:t>
      </w:r>
      <w:r>
        <w:rPr>
          <w:lang w:eastAsia="zh-CN"/>
        </w:rPr>
        <w:t>:</w:t>
      </w:r>
      <w:r>
        <w:rPr>
          <w:rFonts w:hint="eastAsia"/>
          <w:lang w:eastAsia="zh-CN"/>
        </w:rPr>
        <w:t xml:space="preserve"> 除了最小的情况外，真空挖掘机在所有情况下都优于传统挖掘方法。 这意味着使用更少的卡车和现场重型设备，在更短的时间内实现相同的结果。传统的挖掘方法不可避免地很混乱。 相比之下，真空挖掘机会立即吸走所有废弃物和灰尘，并将其容纳在真空挖掘机内。</w:t>
      </w:r>
    </w:p>
    <w:p>
      <w:pPr>
        <w:pStyle w:val="145"/>
        <w:rPr>
          <w:lang w:eastAsia="zh-CN"/>
        </w:rPr>
      </w:pPr>
      <w:r>
        <w:rPr>
          <w:rFonts w:hint="eastAsia"/>
          <w:lang w:eastAsia="zh-CN"/>
        </w:rPr>
        <w:t>主要阻碍因素</w:t>
      </w:r>
      <w:r>
        <w:rPr>
          <w:lang w:eastAsia="zh-CN"/>
        </w:rPr>
        <w:t>:</w:t>
      </w:r>
      <w:r>
        <w:rPr>
          <w:rFonts w:hint="eastAsia"/>
          <w:lang w:eastAsia="zh-CN"/>
        </w:rPr>
        <w:t xml:space="preserve"> 水力挖掘有其自身的缺点，在水力挖掘应用中，一旦水用完，挖掘就完成了。 根据工作地点的位置，加水位置可能有一定距离。 重新填充变得非常耗时，而且每一分钟都需要花钱。由于与空气挖掘过程相关的力和功率较低，因此它不适合涉及非常冷、坚硬或致密的地面材料的项目。 土壤越密实，操作员真空挖掘所需的工作量就越多。</w:t>
      </w:r>
    </w:p>
    <w:p>
      <w:pPr>
        <w:pStyle w:val="145"/>
        <w:rPr>
          <w:lang w:eastAsia="zh-CN"/>
        </w:rPr>
      </w:pPr>
      <w:r>
        <w:rPr>
          <w:rFonts w:hint="eastAsia"/>
          <w:lang w:eastAsia="zh-CN"/>
        </w:rPr>
        <w:t>行业发展机遇</w:t>
      </w:r>
      <w:r>
        <w:rPr>
          <w:lang w:eastAsia="zh-CN"/>
        </w:rPr>
        <w:t>:</w:t>
      </w:r>
      <w:r>
        <w:rPr>
          <w:rFonts w:hint="eastAsia"/>
          <w:lang w:eastAsia="zh-CN"/>
        </w:rPr>
        <w:t xml:space="preserve"> 如今，制造商致力于在机器设计中提高操作员的安全性。 操作真空挖掘机长期以来对体力要求很高，包括在整个工作过程中需要连接和固定各种软管。 最近的发展重点是改进人体工程学设计，以帮助操作员在工作现场安全舒适。</w:t>
      </w:r>
    </w:p>
    <w:p>
      <w:pPr>
        <w:pStyle w:val="148"/>
        <w:rPr>
          <w:lang w:eastAsia="zh-CN"/>
        </w:rPr>
      </w:pPr>
      <w:r>
        <w:rPr>
          <w:rFonts w:hint="eastAsia"/>
          <w:lang w:eastAsia="zh-CN"/>
        </w:rPr>
        <w:t>全球</w:t>
      </w:r>
      <w:r>
        <w:rPr>
          <w:lang w:eastAsia="zh-CN"/>
        </w:rPr>
        <w:t>工业水力挖掘服务</w:t>
      </w:r>
      <w:r>
        <w:rPr>
          <w:rFonts w:hint="eastAsia"/>
          <w:lang w:eastAsia="zh-CN"/>
        </w:rPr>
        <w:t>主要厂商排名，其中2</w:t>
      </w:r>
      <w:r>
        <w:rPr>
          <w:lang w:eastAsia="zh-CN"/>
        </w:rPr>
        <w:t>022</w:t>
      </w:r>
      <w:r>
        <w:rPr>
          <w:rFonts w:hint="eastAsia"/>
          <w:lang w:eastAsia="zh-CN"/>
        </w:rPr>
        <w:t>年前五大厂商占有全球大约</w:t>
      </w:r>
      <w:r>
        <w:rPr>
          <w:lang w:eastAsia="zh-CN"/>
        </w:rPr>
        <w:t>19.72%</w:t>
      </w:r>
      <w:r>
        <w:rPr>
          <w:rFonts w:hint="eastAsia"/>
          <w:lang w:eastAsia="zh-CN"/>
        </w:rPr>
        <w:t>的市场份额</w:t>
      </w:r>
    </w:p>
    <w:p>
      <w:pPr>
        <w:pStyle w:val="145"/>
      </w:pPr>
      <w:r>
        <w:drawing>
          <wp:inline distT="0" distB="0" distL="0" distR="0">
            <wp:extent cx="4572635" cy="4401820"/>
            <wp:effectExtent l="0" t="0" r="0" b="0"/>
            <wp:docPr id="166566250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662500" name="图片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572635" cy="440182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工业水力挖掘服务</w:t>
      </w:r>
      <w:r>
        <w:rPr>
          <w:rFonts w:hint="eastAsia"/>
          <w:lang w:eastAsia="zh-CN"/>
        </w:rPr>
        <w:t>市场研究报告2023-2029</w:t>
      </w:r>
      <w:r>
        <w:rPr>
          <w:lang w:eastAsia="zh-CN"/>
        </w:rPr>
        <w:t>.</w:t>
      </w:r>
    </w:p>
    <w:p>
      <w:pPr>
        <w:pStyle w:val="145"/>
        <w:rPr>
          <w:lang w:eastAsia="zh-CN"/>
        </w:rPr>
      </w:pPr>
      <w:r>
        <w:rPr>
          <w:rFonts w:hint="eastAsia"/>
          <w:lang w:eastAsia="zh-CN"/>
        </w:rPr>
        <w:t>全球范围内，</w:t>
      </w:r>
      <w:r>
        <w:rPr>
          <w:lang w:eastAsia="zh-CN"/>
        </w:rPr>
        <w:t>工业水力挖掘服务</w:t>
      </w:r>
      <w:r>
        <w:rPr>
          <w:rFonts w:hint="eastAsia"/>
          <w:lang w:eastAsia="zh-CN"/>
        </w:rPr>
        <w:t>主要生产商包括</w:t>
      </w:r>
      <w:r>
        <w:rPr>
          <w:lang w:eastAsia="zh-CN"/>
        </w:rPr>
        <w:t>Rangedale</w:t>
      </w:r>
      <w:r>
        <w:rPr>
          <w:rFonts w:hint="eastAsia"/>
          <w:lang w:eastAsia="zh-CN"/>
        </w:rPr>
        <w:t>、</w:t>
      </w:r>
      <w:r>
        <w:rPr>
          <w:lang w:eastAsia="zh-CN"/>
        </w:rPr>
        <w:t>Remondis</w:t>
      </w:r>
      <w:r>
        <w:rPr>
          <w:rFonts w:hint="eastAsia"/>
          <w:lang w:eastAsia="zh-CN"/>
        </w:rPr>
        <w:t>、</w:t>
      </w:r>
      <w:r>
        <w:rPr>
          <w:lang w:eastAsia="zh-CN"/>
        </w:rPr>
        <w:t>Veolia Group</w:t>
      </w:r>
      <w:r>
        <w:rPr>
          <w:rFonts w:hint="eastAsia"/>
          <w:lang w:eastAsia="zh-CN"/>
        </w:rPr>
        <w:t>、</w:t>
      </w:r>
      <w:r>
        <w:rPr>
          <w:lang w:eastAsia="zh-CN"/>
        </w:rPr>
        <w:t>PowerTeam Services(Artera Services)</w:t>
      </w:r>
      <w:r>
        <w:rPr>
          <w:rFonts w:hint="eastAsia"/>
          <w:lang w:eastAsia="zh-CN"/>
        </w:rPr>
        <w:t>、</w:t>
      </w:r>
      <w:r>
        <w:rPr>
          <w:lang w:eastAsia="zh-CN"/>
        </w:rPr>
        <w:tab/>
      </w:r>
      <w:r>
        <w:rPr>
          <w:lang w:eastAsia="zh-CN"/>
        </w:rPr>
        <w:t>Badger</w:t>
      </w:r>
      <w:r>
        <w:rPr>
          <w:rFonts w:hint="eastAsia"/>
          <w:lang w:eastAsia="zh-CN"/>
        </w:rPr>
        <w:t>等，其中前五大厂商占有大约</w:t>
      </w:r>
      <w:r>
        <w:rPr>
          <w:lang w:eastAsia="zh-CN"/>
        </w:rPr>
        <w:t>19.72%</w:t>
      </w:r>
      <w:r>
        <w:rPr>
          <w:rFonts w:hint="eastAsia"/>
          <w:lang w:eastAsia="zh-CN"/>
        </w:rPr>
        <w:t>的市场份额。</w:t>
      </w:r>
    </w:p>
    <w:p>
      <w:pPr>
        <w:pStyle w:val="145"/>
        <w:rPr>
          <w:lang w:eastAsia="zh-CN"/>
        </w:rPr>
      </w:pPr>
      <w:r>
        <w:rPr>
          <w:rFonts w:hint="eastAsia"/>
          <w:lang w:eastAsia="zh-CN"/>
        </w:rPr>
        <w:t>目前，全球核心厂商主要分布在北美，欧洲</w:t>
      </w:r>
    </w:p>
    <w:p>
      <w:pPr>
        <w:pStyle w:val="145"/>
        <w:rPr>
          <w:lang w:eastAsia="zh-CN"/>
        </w:rPr>
      </w:pPr>
      <w:r>
        <w:rPr>
          <w:lang w:eastAsia="zh-CN"/>
        </w:rPr>
        <w:br w:type="page"/>
      </w:r>
    </w:p>
    <w:p>
      <w:pPr>
        <w:pStyle w:val="148"/>
        <w:rPr>
          <w:lang w:eastAsia="zh-CN"/>
        </w:rPr>
      </w:pPr>
      <w:r>
        <w:rPr>
          <w:rFonts w:hint="eastAsia"/>
          <w:lang w:eastAsia="zh-CN"/>
        </w:rPr>
        <w:t>全球</w:t>
      </w:r>
      <w:r>
        <w:rPr>
          <w:lang w:eastAsia="zh-CN"/>
        </w:rPr>
        <w:t>工业水力挖掘服务</w:t>
      </w:r>
      <w:r>
        <w:rPr>
          <w:rFonts w:hint="eastAsia"/>
          <w:lang w:eastAsia="zh-CN"/>
        </w:rPr>
        <w:t>市场规模，按产品类型细分，合约服务处于主导地位</w:t>
      </w:r>
    </w:p>
    <w:p>
      <w:pPr>
        <w:pStyle w:val="145"/>
      </w:pPr>
      <w:r>
        <w:drawing>
          <wp:inline distT="0" distB="0" distL="0" distR="0">
            <wp:extent cx="6120765" cy="2877820"/>
            <wp:effectExtent l="0" t="0" r="0" b="0"/>
            <wp:docPr id="21133325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332522"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120765" cy="2877820"/>
                    </a:xfrm>
                    <a:prstGeom prst="rect">
                      <a:avLst/>
                    </a:prstGeom>
                    <a:noFill/>
                  </pic:spPr>
                </pic:pic>
              </a:graphicData>
            </a:graphic>
          </wp:inline>
        </w:drawing>
      </w:r>
    </w:p>
    <w:p>
      <w:pPr>
        <w:pStyle w:val="145"/>
      </w:pPr>
      <w:r>
        <w:drawing>
          <wp:inline distT="0" distB="0" distL="0" distR="0">
            <wp:extent cx="6119495" cy="2894330"/>
            <wp:effectExtent l="0" t="0" r="0" b="1270"/>
            <wp:docPr id="19235005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50056" name="图片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6120000" cy="289440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工业水力挖掘服务</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就产品类型而言，目前合约服务是最主要的细分产品，占据大约</w:t>
      </w:r>
      <w:r>
        <w:rPr>
          <w:lang w:eastAsia="zh-CN"/>
        </w:rPr>
        <w:t>80.4%</w:t>
      </w:r>
      <w:r>
        <w:rPr>
          <w:rFonts w:hint="eastAsia"/>
          <w:lang w:eastAsia="zh-CN"/>
        </w:rPr>
        <w:t>的份额。</w:t>
      </w:r>
    </w:p>
    <w:p>
      <w:pPr>
        <w:pStyle w:val="145"/>
        <w:rPr>
          <w:lang w:eastAsia="zh-CN"/>
        </w:rPr>
      </w:pPr>
    </w:p>
    <w:p>
      <w:pPr>
        <w:pStyle w:val="145"/>
        <w:rPr>
          <w:lang w:eastAsia="zh-CN"/>
        </w:rPr>
      </w:pPr>
    </w:p>
    <w:p>
      <w:pPr>
        <w:pStyle w:val="145"/>
        <w:rPr>
          <w:lang w:eastAsia="zh-CN"/>
        </w:rPr>
      </w:pPr>
      <w:r>
        <w:rPr>
          <w:lang w:eastAsia="zh-CN"/>
        </w:rPr>
        <w:br w:type="page"/>
      </w:r>
    </w:p>
    <w:p>
      <w:pPr>
        <w:pStyle w:val="148"/>
        <w:rPr>
          <w:lang w:eastAsia="zh-CN"/>
        </w:rPr>
      </w:pPr>
      <w:r>
        <w:rPr>
          <w:rFonts w:hint="eastAsia"/>
          <w:lang w:eastAsia="zh-CN"/>
        </w:rPr>
        <w:t>全球</w:t>
      </w:r>
      <w:r>
        <w:rPr>
          <w:lang w:eastAsia="zh-CN"/>
        </w:rPr>
        <w:t>工业水力挖掘服务</w:t>
      </w:r>
      <w:r>
        <w:rPr>
          <w:rFonts w:hint="eastAsia"/>
          <w:lang w:eastAsia="zh-CN"/>
        </w:rPr>
        <w:t>市场规模，按应用细分，市政是最大的下游市场，占有</w:t>
      </w:r>
      <w:r>
        <w:rPr>
          <w:lang w:eastAsia="zh-CN"/>
        </w:rPr>
        <w:t>30.4%</w:t>
      </w:r>
      <w:r>
        <w:rPr>
          <w:rFonts w:hint="eastAsia"/>
          <w:lang w:eastAsia="zh-CN"/>
        </w:rPr>
        <w:t>份额。</w:t>
      </w:r>
    </w:p>
    <w:p>
      <w:pPr>
        <w:pStyle w:val="145"/>
      </w:pPr>
      <w:r>
        <w:drawing>
          <wp:inline distT="0" distB="0" distL="0" distR="0">
            <wp:extent cx="6115050" cy="2883535"/>
            <wp:effectExtent l="0" t="0" r="0" b="0"/>
            <wp:docPr id="11105110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511018" name="图片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6115050" cy="2883535"/>
                    </a:xfrm>
                    <a:prstGeom prst="rect">
                      <a:avLst/>
                    </a:prstGeom>
                    <a:noFill/>
                  </pic:spPr>
                </pic:pic>
              </a:graphicData>
            </a:graphic>
          </wp:inline>
        </w:drawing>
      </w:r>
    </w:p>
    <w:p>
      <w:pPr>
        <w:pStyle w:val="145"/>
      </w:pPr>
      <w:r>
        <w:drawing>
          <wp:inline distT="0" distB="0" distL="0" distR="0">
            <wp:extent cx="6119495" cy="2894330"/>
            <wp:effectExtent l="0" t="0" r="0" b="1270"/>
            <wp:docPr id="69608831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088318" name="图片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6120000" cy="289440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工业水力挖掘服务</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就产品类型而言，目前市政是最主要的需求来源，占据大约</w:t>
      </w:r>
      <w:r>
        <w:rPr>
          <w:lang w:eastAsia="zh-CN"/>
        </w:rPr>
        <w:t>30.4%</w:t>
      </w:r>
      <w:r>
        <w:rPr>
          <w:rFonts w:hint="eastAsia"/>
          <w:lang w:eastAsia="zh-CN"/>
        </w:rPr>
        <w:t>的份额。</w:t>
      </w:r>
    </w:p>
    <w:p>
      <w:pPr>
        <w:pStyle w:val="145"/>
        <w:rPr>
          <w:lang w:eastAsia="zh-CN"/>
        </w:rPr>
      </w:pPr>
    </w:p>
    <w:p>
      <w:pPr>
        <w:pStyle w:val="145"/>
        <w:rPr>
          <w:lang w:eastAsia="zh-CN"/>
        </w:rPr>
      </w:pPr>
    </w:p>
    <w:p>
      <w:pPr>
        <w:pStyle w:val="145"/>
        <w:rPr>
          <w:lang w:eastAsia="zh-CN"/>
        </w:rPr>
      </w:pPr>
      <w:r>
        <w:rPr>
          <w:lang w:eastAsia="zh-CN"/>
        </w:rPr>
        <w:br w:type="page"/>
      </w:r>
    </w:p>
    <w:p>
      <w:pPr>
        <w:pStyle w:val="148"/>
        <w:rPr>
          <w:lang w:eastAsia="zh-CN"/>
        </w:rPr>
      </w:pPr>
      <w:r>
        <w:rPr>
          <w:rFonts w:hint="eastAsia"/>
          <w:lang w:eastAsia="zh-CN"/>
        </w:rPr>
        <w:t>全球</w:t>
      </w:r>
      <w:r>
        <w:rPr>
          <w:lang w:eastAsia="zh-CN"/>
        </w:rPr>
        <w:t>工业水力挖掘服务</w:t>
      </w:r>
      <w:r>
        <w:rPr>
          <w:rFonts w:hint="eastAsia"/>
          <w:lang w:eastAsia="zh-CN"/>
        </w:rPr>
        <w:t>规模，主要消费地区份额（消费端）</w:t>
      </w:r>
    </w:p>
    <w:p>
      <w:pPr>
        <w:pStyle w:val="145"/>
        <w:rPr>
          <w:lang w:val="en-US" w:eastAsia="zh-CN"/>
        </w:rPr>
      </w:pPr>
      <w:r>
        <w:rPr>
          <w:lang w:val="en-US" w:eastAsia="zh-CN"/>
        </w:rPr>
        <w:drawing>
          <wp:inline distT="0" distB="0" distL="0" distR="0">
            <wp:extent cx="6480810" cy="3060700"/>
            <wp:effectExtent l="0" t="0" r="0" b="6350"/>
            <wp:docPr id="194643716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437167" name="图片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6480810" cy="3060700"/>
                    </a:xfrm>
                    <a:prstGeom prst="rect">
                      <a:avLst/>
                    </a:prstGeom>
                    <a:noFill/>
                  </pic:spPr>
                </pic:pic>
              </a:graphicData>
            </a:graphic>
          </wp:inline>
        </w:drawing>
      </w:r>
    </w:p>
    <w:p>
      <w:pPr>
        <w:pStyle w:val="145"/>
        <w:rPr>
          <w:lang w:val="en-US" w:eastAsia="zh-CN"/>
        </w:rPr>
      </w:pPr>
      <w:r>
        <w:rPr>
          <w:lang w:val="en-US" w:eastAsia="zh-CN"/>
        </w:rPr>
        <w:drawing>
          <wp:inline distT="0" distB="0" distL="0" distR="0">
            <wp:extent cx="6480810" cy="3060700"/>
            <wp:effectExtent l="0" t="0" r="0" b="6350"/>
            <wp:docPr id="32393169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931692" name="图片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6480810" cy="306070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工业水力挖掘服务</w:t>
      </w:r>
      <w:r>
        <w:rPr>
          <w:rFonts w:hint="eastAsia"/>
          <w:lang w:eastAsia="zh-CN"/>
        </w:rPr>
        <w:t>市场研究报告2023-2029</w:t>
      </w:r>
      <w:r>
        <w:rPr>
          <w:lang w:eastAsia="zh-CN"/>
        </w:rPr>
        <w:t>.</w:t>
      </w:r>
    </w:p>
    <w:bookmarkEnd w:id="1"/>
    <w:bookmarkEnd w:id="2"/>
    <w:bookmarkEnd w:id="3"/>
    <w:bookmarkEnd w:id="4"/>
    <w:bookmarkEnd w:id="5"/>
    <w:bookmarkEnd w:id="6"/>
    <w:bookmarkEnd w:id="7"/>
    <w:bookmarkEnd w:id="8"/>
    <w:bookmarkEnd w:id="9"/>
    <w:bookmarkEnd w:id="10"/>
    <w:bookmarkEnd w:id="11"/>
    <w:bookmarkEnd w:id="12"/>
    <w:bookmarkEnd w:id="13"/>
    <w:p>
      <w:pPr>
        <w:pStyle w:val="145"/>
      </w:pPr>
      <w:r>
        <w:br w:type="page"/>
      </w:r>
    </w:p>
    <w:p>
      <w:pPr>
        <w:pStyle w:val="145"/>
        <w:rPr>
          <w:lang w:eastAsia="zh-CN"/>
        </w:rPr>
      </w:pPr>
      <w:bookmarkStart w:id="14" w:name="_GoBack"/>
      <w:bookmarkEnd w:id="14"/>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Light">
    <w:altName w:val="宋体"/>
    <w:panose1 w:val="02010600030101010101"/>
    <w:charset w:val="86"/>
    <w:family w:val="auto"/>
    <w:pitch w:val="default"/>
    <w:sig w:usb0="00000000" w:usb1="00000000"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80F3C52" w:usb2="00000016" w:usb3="00000000" w:csb0="0004001F" w:csb1="00000000"/>
  </w:font>
  <w:font w:name="Microsoft YaHei UI">
    <w:altName w:val="宋体"/>
    <w:panose1 w:val="020B0503020204020204"/>
    <w:charset w:val="86"/>
    <w:family w:val="swiss"/>
    <w:pitch w:val="default"/>
    <w:sig w:usb0="00000000" w:usb1="00000000"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Century Gothic">
    <w:altName w:val="Segoe Print"/>
    <w:panose1 w:val="020B05020202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等线 Light">
    <w:altName w:val="Segoe Print"/>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107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1775"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ZTA5ZDQ3NWE4ZjMxYjI3YzM5ZGFlMGQxODk1NDA3MmIifQ=="/>
  </w:docVars>
  <w:rsids>
    <w:rsidRoot w:val="00D33EE2"/>
    <w:rsid w:val="000002E5"/>
    <w:rsid w:val="0000037A"/>
    <w:rsid w:val="0000040F"/>
    <w:rsid w:val="0000064D"/>
    <w:rsid w:val="00000877"/>
    <w:rsid w:val="00000A89"/>
    <w:rsid w:val="00000CBB"/>
    <w:rsid w:val="00001917"/>
    <w:rsid w:val="00001B99"/>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B06"/>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0C"/>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85C"/>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07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41C"/>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3A"/>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0F85"/>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B10"/>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659"/>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568"/>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861"/>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8ED"/>
    <w:rsid w:val="00723A04"/>
    <w:rsid w:val="00723DCB"/>
    <w:rsid w:val="00724290"/>
    <w:rsid w:val="0072438D"/>
    <w:rsid w:val="007244CA"/>
    <w:rsid w:val="007246A4"/>
    <w:rsid w:val="00724783"/>
    <w:rsid w:val="007252EA"/>
    <w:rsid w:val="007253B4"/>
    <w:rsid w:val="007255EA"/>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E7"/>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1F0"/>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E80"/>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334"/>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563"/>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6FFD"/>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BAB"/>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3FE"/>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6E2"/>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6BB06D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40" w:after="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imes New Roman" w:hAnsi="Times New Roman" w:eastAsia="宋体"/>
      <w:color w:val="0D0D0D" w:themeColor="text1" w:themeTint="F2"/>
      <w:kern w:val="0"/>
      <w:sz w:val="22"/>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ind w:left="357"/>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TOC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uiPriority w:val="99"/>
    <w:rPr>
      <w:color w:val="605E5C"/>
      <w:shd w:val="clear" w:color="auto" w:fill="E1DFDD"/>
    </w:rPr>
  </w:style>
  <w:style w:type="table" w:customStyle="1" w:styleId="195">
    <w:name w:val="List Table 2 Accent 2"/>
    <w:basedOn w:val="34"/>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2"/>
    <customShpInfo spid="_x0000_s1031"/>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Normal.dotm</Template>
  <Pages>7</Pages>
  <Words>1521</Words>
  <Characters>1797</Characters>
  <Lines>13</Lines>
  <Paragraphs>3</Paragraphs>
  <TotalTime>1</TotalTime>
  <ScaleCrop>false</ScaleCrop>
  <LinksUpToDate>false</LinksUpToDate>
  <CharactersWithSpaces>1811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Administrator</cp:lastModifiedBy>
  <dcterms:modified xsi:type="dcterms:W3CDTF">2023-10-08T05:39:09Z</dcterms:modified>
  <cp:revision>762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1105B9F52DC2499381116305456635C0_13</vt:lpwstr>
  </property>
</Properties>
</file>