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24.5.0 -->
  <w:body>
    <w:p w14:paraId="22DEF101">
      <w:pPr>
        <w:pStyle w:val="NormalWeb"/>
        <w:rPr>
          <w:rFonts w:ascii="Times New Roman" w:eastAsia="等线" w:hAnsi="Times New Roman" w:cs="Times New Roman"/>
          <w:b/>
          <w:bCs/>
          <w:kern w:val="2"/>
          <w:sz w:val="28"/>
          <w:szCs w:val="28"/>
          <w:lang w:eastAsia="zh-CN"/>
          <w14:ligatures w14:val="standardContextual"/>
        </w:rPr>
      </w:pPr>
      <w:r>
        <w:rPr>
          <w:rFonts w:ascii="Times New Roman" w:eastAsia="等线" w:hAnsi="Times New Roman" w:cs="Times New Roman"/>
          <w:b/>
          <w:bCs/>
          <w:kern w:val="2"/>
          <w:sz w:val="28"/>
          <w:szCs w:val="28"/>
          <w:lang w:eastAsia="zh-CN"/>
          <w14:ligatures w14:val="standardContextual"/>
        </w:rPr>
        <w:t>European Stainless Steel Submersible Groundwater Pump Market to Grow at 6.</w:t>
      </w:r>
      <w:r>
        <w:rPr>
          <w:rFonts w:ascii="Times New Roman" w:eastAsia="等线" w:hAnsi="Times New Roman" w:cs="Times New Roman" w:hint="eastAsia"/>
          <w:b/>
          <w:bCs/>
          <w:kern w:val="2"/>
          <w:sz w:val="28"/>
          <w:szCs w:val="28"/>
          <w:lang w:eastAsia="zh-CN"/>
          <w14:ligatures w14:val="standardContextual"/>
        </w:rPr>
        <w:t>7</w:t>
      </w:r>
      <w:r>
        <w:rPr>
          <w:rFonts w:ascii="Times New Roman" w:eastAsia="等线" w:hAnsi="Times New Roman" w:cs="Times New Roman"/>
          <w:b/>
          <w:bCs/>
          <w:kern w:val="2"/>
          <w:sz w:val="28"/>
          <w:szCs w:val="28"/>
          <w:lang w:eastAsia="zh-CN"/>
          <w14:ligatures w14:val="standardContextual"/>
        </w:rPr>
        <w:t>% CAGR Reaching €663.7 Million by 2031</w:t>
      </w:r>
    </w:p>
    <w:p w14:paraId="5DD0772C">
      <w:pPr>
        <w:rPr>
          <w:rFonts w:ascii="Times New Roman" w:eastAsia="等线" w:hAnsi="Times New Roman" w:cs="Times New Roman"/>
          <w:b/>
          <w:bCs/>
          <w:i/>
          <w:iCs/>
          <w:lang w:eastAsia="zh-CN"/>
        </w:rPr>
      </w:pPr>
      <w:r>
        <w:rPr>
          <w:rFonts w:ascii="Times New Roman" w:eastAsia="等线" w:hAnsi="Times New Roman" w:cs="Times New Roman"/>
          <w:b/>
          <w:bCs/>
          <w:i/>
          <w:iCs/>
          <w:lang w:eastAsia="zh-CN"/>
        </w:rPr>
        <w:t>Porto, Portugal—</w:t>
      </w:r>
      <w:r>
        <w:rPr>
          <w:rFonts w:ascii="Times New Roman" w:eastAsia="等线" w:hAnsi="Times New Roman" w:cs="Times New Roman" w:hint="eastAsia"/>
          <w:b/>
          <w:bCs/>
          <w:i/>
          <w:iCs/>
          <w:lang w:eastAsia="zh-CN"/>
        </w:rPr>
        <w:t>January 31</w:t>
      </w:r>
      <w:r>
        <w:rPr>
          <w:rFonts w:ascii="Times New Roman" w:eastAsia="等线" w:hAnsi="Times New Roman" w:cs="Times New Roman"/>
          <w:b/>
          <w:bCs/>
          <w:i/>
          <w:iCs/>
          <w:lang w:eastAsia="zh-CN"/>
        </w:rPr>
        <w:t>, 2025</w:t>
      </w:r>
    </w:p>
    <w:p w14:paraId="2178BB96">
      <w:pPr>
        <w:rPr>
          <w:rFonts w:eastAsia="等线"/>
          <w:lang w:eastAsia="zh-CN"/>
        </w:rPr>
      </w:pPr>
    </w:p>
    <w:p w14:paraId="2FC132D9">
      <w:pPr>
        <w:rPr>
          <w:rFonts w:ascii="宋体" w:eastAsia="宋体" w:hAnsi="宋体" w:cs="宋体"/>
          <w:szCs w:val="24"/>
        </w:rPr>
      </w:pPr>
      <w:r>
        <w:rPr>
          <w:rFonts w:ascii="宋体" w:eastAsia="宋体" w:hAnsi="宋体" w:cs="宋体"/>
          <w:szCs w:val="24"/>
        </w:rPr>
        <w:drawing>
          <wp:inline distT="0" distB="0" distL="114300" distR="114300">
            <wp:extent cx="4876800" cy="2419985"/>
            <wp:effectExtent l="0" t="0" r="0" b="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xmlns:r="http://schemas.openxmlformats.org/officeDocument/2006/relationships" r:embed="rId4"/>
                    <a:srcRect t="8731" b="19091"/>
                    <a:stretch>
                      <a:fillRect/>
                    </a:stretch>
                  </pic:blipFill>
                  <pic:spPr>
                    <a:xfrm>
                      <a:off x="0" y="0"/>
                      <a:ext cx="4876800" cy="2419985"/>
                    </a:xfrm>
                    <a:prstGeom prst="rect">
                      <a:avLst/>
                    </a:prstGeom>
                    <a:noFill/>
                    <a:ln w="9525">
                      <a:noFill/>
                    </a:ln>
                  </pic:spPr>
                </pic:pic>
              </a:graphicData>
            </a:graphic>
          </wp:inline>
        </w:drawing>
      </w:r>
    </w:p>
    <w:p w14:paraId="21C88201">
      <w:pPr>
        <w:rPr>
          <w:rFonts w:ascii="Times New Roman" w:eastAsia="等线" w:hAnsi="Times New Roman" w:cs="Times New Roman"/>
          <w:lang w:eastAsia="zh-CN"/>
        </w:rPr>
      </w:pPr>
    </w:p>
    <w:p w14:paraId="24302BAB">
      <w:pPr>
        <w:rPr>
          <w:rFonts w:ascii="宋体" w:eastAsia="宋体" w:hAnsi="宋体" w:cs="宋体"/>
          <w:szCs w:val="24"/>
          <w:lang w:eastAsia="zh-CN"/>
        </w:rPr>
      </w:pPr>
    </w:p>
    <w:p w14:paraId="670807A6">
      <w:pPr>
        <w:pStyle w:val="ListParagraph"/>
        <w:numPr>
          <w:ilvl w:val="0"/>
          <w:numId w:val="1"/>
        </w:numPr>
        <w:ind w:leftChars="0"/>
        <w:rPr>
          <w:rFonts w:eastAsia="等线"/>
          <w:lang w:eastAsia="zh-CN"/>
        </w:rPr>
      </w:pPr>
      <w:r>
        <w:rPr>
          <w:rFonts w:eastAsia="等线" w:hint="eastAsia"/>
          <w:lang w:eastAsia="zh-CN"/>
        </w:rPr>
        <w:t>European</w:t>
      </w:r>
      <w:r>
        <w:rPr>
          <w:rFonts w:eastAsia="等线"/>
          <w:lang w:eastAsia="zh-CN"/>
        </w:rPr>
        <w:t xml:space="preserve"> </w:t>
      </w:r>
      <w:r>
        <w:rPr>
          <w:rFonts w:eastAsia="等线" w:hint="eastAsia"/>
          <w:lang w:eastAsia="zh-CN"/>
        </w:rPr>
        <w:t>Stainless Steel Submersible Groundwater Pump</w:t>
      </w:r>
      <w:r>
        <w:rPr>
          <w:rFonts w:eastAsia="等线"/>
          <w:lang w:eastAsia="zh-CN"/>
        </w:rPr>
        <w:t xml:space="preserve"> Market Size (</w:t>
      </w:r>
      <w:r>
        <w:rPr>
          <w:rFonts w:eastAsia="等线" w:hint="eastAsia"/>
          <w:lang w:eastAsia="zh-CN"/>
        </w:rPr>
        <w:t>€</w:t>
      </w:r>
      <w:r>
        <w:rPr>
          <w:rFonts w:eastAsia="等线"/>
          <w:lang w:eastAsia="zh-CN"/>
        </w:rPr>
        <w:t xml:space="preserve"> Million), 2025-2031</w:t>
      </w:r>
    </w:p>
    <w:p w14:paraId="3A1A64EA">
      <w:pPr>
        <w:pStyle w:val="NormalWeb"/>
        <w:rPr>
          <w:rFonts w:eastAsia="等线" w:asciiTheme="minorHAnsi" w:hAnsiTheme="minorHAnsi" w:cstheme="minorBidi"/>
          <w:kern w:val="2"/>
          <w:szCs w:val="22"/>
          <w:lang w:eastAsia="zh-CN"/>
          <w14:ligatures w14:val="standardContextual"/>
        </w:rPr>
      </w:pPr>
      <w:r>
        <w:rPr>
          <w:rFonts w:eastAsia="等线" w:asciiTheme="minorHAnsi" w:hAnsiTheme="minorHAnsi" w:cstheme="minorBidi" w:hint="eastAsia"/>
          <w:kern w:val="2"/>
          <w:szCs w:val="22"/>
          <w:lang w:eastAsia="zh-CN"/>
          <w14:ligatures w14:val="standardContextual"/>
        </w:rPr>
        <w:t xml:space="preserve">According to QY Research, Grundfos has recently strengthened its commitment to </w:t>
      </w:r>
      <w:r>
        <w:rPr>
          <w:rFonts w:eastAsia="等线" w:asciiTheme="minorHAnsi" w:hAnsiTheme="minorHAnsi" w:cstheme="minorBidi"/>
          <w:kern w:val="2"/>
          <w:szCs w:val="22"/>
          <w:lang w:eastAsia="zh-CN"/>
          <w14:ligatures w14:val="standardContextual"/>
        </w:rPr>
        <w:t>sustainability and global water accessibility through a strategic partnership with the Houston Astros. Announced in September 2024, this collaboration aims to support clean water initiatives worldwide, reflecting the company’s long-standing focus on sustainable water management solutions. Grundfos continues to position itself as a leader in the stainless steel submersible groundwater pump market by integrating sustainability efforts with industry innovation. This initiative is part of the company’s broader corporate responsibility strategy, which includes efforts to improve water efficiency and reduce energy consumption in pumping solutions.</w:t>
      </w:r>
    </w:p>
    <w:p w14:paraId="219E3748">
      <w:pPr>
        <w:pStyle w:val="NormalWeb"/>
        <w:rPr>
          <w:rFonts w:eastAsia="等线" w:asciiTheme="minorHAnsi" w:hAnsiTheme="minorHAnsi" w:cstheme="minorBidi"/>
          <w:kern w:val="2"/>
          <w:szCs w:val="22"/>
          <w:lang w:eastAsia="zh-CN"/>
          <w14:ligatures w14:val="standardContextual"/>
        </w:rPr>
      </w:pPr>
      <w:r>
        <w:rPr>
          <w:rFonts w:eastAsia="等线" w:asciiTheme="minorHAnsi" w:hAnsiTheme="minorHAnsi" w:cstheme="minorBidi"/>
          <w:kern w:val="2"/>
          <w:szCs w:val="22"/>
          <w:lang w:eastAsia="zh-CN"/>
          <w14:ligatures w14:val="standardContextual"/>
        </w:rPr>
        <w:t>QY Research also reports that in October 2024, Wilo SE took significant steps to regionalize its organizational structure in response to evolving geo-economic conditions. The company restructured into three autonomous regional divisions: Wilo Europe, Wilo AMEA (Asia, Middle East, and Africa), and Wilo Americas. This move is designed to enhance operational flexibility and responsiveness to market-specific demands, reinforcing Wilo’s competitive position in the European stainless steel submersible groundwater pump market. By decentralizing decision-making, Wilo aims to improve its ability to adapt to local industry trends and regulatory changes while maintaining its global growth trajectory.</w:t>
      </w:r>
    </w:p>
    <w:p w14:paraId="4DBB8991">
      <w:pPr>
        <w:rPr>
          <w:rFonts w:eastAsia="等线"/>
          <w:lang w:eastAsia="zh-CN"/>
        </w:rPr>
      </w:pPr>
      <w:r>
        <w:rPr>
          <w:rFonts w:eastAsia="等线"/>
          <w:lang w:eastAsia="zh-CN"/>
        </w:rPr>
        <w:t xml:space="preserve">The </w:t>
      </w:r>
      <w:r>
        <w:rPr>
          <w:rFonts w:eastAsia="等线" w:hint="eastAsia"/>
          <w:lang w:eastAsia="zh-CN"/>
        </w:rPr>
        <w:t>European</w:t>
      </w:r>
      <w:r>
        <w:rPr>
          <w:rFonts w:eastAsia="等线"/>
          <w:lang w:eastAsia="zh-CN"/>
        </w:rPr>
        <w:t xml:space="preserve"> market for Stainless Steel Submersible Groundwater Pump was estimated to be worth </w:t>
      </w:r>
      <w:r>
        <w:rPr>
          <w:rFonts w:eastAsia="等线" w:hint="eastAsia"/>
          <w:lang w:eastAsia="zh-CN"/>
        </w:rPr>
        <w:t>€42</w:t>
      </w:r>
      <w:r>
        <w:rPr>
          <w:rFonts w:eastAsia="等线"/>
          <w:lang w:eastAsia="zh-CN"/>
        </w:rPr>
        <w:t>4</w:t>
      </w:r>
      <w:r>
        <w:rPr>
          <w:rFonts w:eastAsia="等线" w:hint="eastAsia"/>
          <w:lang w:eastAsia="zh-CN"/>
        </w:rPr>
        <w:t>.3</w:t>
      </w:r>
      <w:r>
        <w:rPr>
          <w:rFonts w:eastAsia="等线"/>
          <w:lang w:eastAsia="zh-CN"/>
        </w:rPr>
        <w:t xml:space="preserve"> million in 2024 and is forecast to a readjusted size of </w:t>
      </w:r>
      <w:r>
        <w:rPr>
          <w:rFonts w:eastAsia="等线" w:hint="eastAsia"/>
          <w:lang w:eastAsia="zh-CN"/>
        </w:rPr>
        <w:t>€663.7</w:t>
      </w:r>
      <w:r>
        <w:rPr>
          <w:rFonts w:eastAsia="等线"/>
          <w:lang w:eastAsia="zh-CN"/>
        </w:rPr>
        <w:t xml:space="preserve"> million by 2031 with a CAGR of 6.</w:t>
      </w:r>
      <w:r>
        <w:rPr>
          <w:rFonts w:eastAsia="等线" w:hint="eastAsia"/>
          <w:lang w:eastAsia="zh-CN"/>
        </w:rPr>
        <w:t>7</w:t>
      </w:r>
      <w:r>
        <w:rPr>
          <w:rFonts w:eastAsia="等线"/>
          <w:lang w:eastAsia="zh-CN"/>
        </w:rPr>
        <w:t>% during the forecast period 2025-2031.</w:t>
      </w:r>
    </w:p>
    <w:p w14:paraId="2E99534C">
      <w:pPr>
        <w:pStyle w:val="ListParagraph"/>
        <w:ind w:left="0" w:leftChars="0"/>
        <w:rPr>
          <w:rFonts w:eastAsia="等线"/>
          <w:lang w:eastAsia="zh-CN"/>
        </w:rPr>
      </w:pPr>
      <w:r>
        <w:drawing>
          <wp:inline distT="0" distB="0" distL="0" distR="0">
            <wp:extent cx="4675505" cy="2977515"/>
            <wp:effectExtent l="0" t="0" r="0" b="0"/>
            <wp:docPr id="211062010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0620100" name="图片 1"/>
                    <pic:cNvPicPr>
                      <a:picLocks noChangeAspect="1" noChangeArrowheads="1"/>
                    </pic:cNvPicPr>
                  </pic:nvPicPr>
                  <pic:blipFill>
                    <a:blip xmlns:r="http://schemas.openxmlformats.org/officeDocument/2006/relationships" r:embed="rId5" cstate="print">
                      <a:extLst>
                        <a:ext xmlns:a="http://schemas.openxmlformats.org/drawingml/2006/main" uri="{28A0092B-C50C-407E-A947-70E740481C1C}">
                          <a14:useLocalDpi xmlns:a14="http://schemas.microsoft.com/office/drawing/2010/main" val="0"/>
                        </a:ext>
                      </a:extLst>
                    </a:blip>
                    <a:stretch>
                      <a:fillRect/>
                    </a:stretch>
                  </pic:blipFill>
                  <pic:spPr>
                    <a:xfrm>
                      <a:off x="0" y="0"/>
                      <a:ext cx="4675505" cy="2977515"/>
                    </a:xfrm>
                    <a:prstGeom prst="rect">
                      <a:avLst/>
                    </a:prstGeom>
                    <a:noFill/>
                    <a:ln>
                      <a:noFill/>
                    </a:ln>
                  </pic:spPr>
                </pic:pic>
              </a:graphicData>
            </a:graphic>
          </wp:inline>
        </w:drawing>
      </w:r>
    </w:p>
    <w:p w14:paraId="4B1D595C">
      <w:pPr>
        <w:pStyle w:val="ListParagraph"/>
        <w:numPr>
          <w:ilvl w:val="0"/>
          <w:numId w:val="1"/>
        </w:numPr>
        <w:ind w:leftChars="0"/>
        <w:rPr>
          <w:rFonts w:eastAsia="等线"/>
          <w:lang w:eastAsia="zh-CN"/>
        </w:rPr>
      </w:pPr>
      <w:r>
        <w:rPr>
          <w:rFonts w:eastAsia="等线" w:hint="eastAsia"/>
          <w:lang w:eastAsia="zh-CN"/>
        </w:rPr>
        <w:t>European</w:t>
      </w:r>
      <w:r>
        <w:rPr>
          <w:rFonts w:eastAsia="等线"/>
          <w:lang w:eastAsia="zh-CN"/>
        </w:rPr>
        <w:t xml:space="preserve"> </w:t>
      </w:r>
      <w:r>
        <w:rPr>
          <w:rFonts w:eastAsia="等线" w:hint="eastAsia"/>
          <w:lang w:eastAsia="zh-CN"/>
        </w:rPr>
        <w:t xml:space="preserve">Stainless Steel Submersible Groundwater Pump </w:t>
      </w:r>
      <w:r>
        <w:rPr>
          <w:rFonts w:eastAsia="等线"/>
          <w:lang w:eastAsia="zh-CN"/>
        </w:rPr>
        <w:t>Top 2</w:t>
      </w:r>
      <w:r>
        <w:rPr>
          <w:rFonts w:eastAsia="等线" w:hint="eastAsia"/>
          <w:lang w:eastAsia="zh-CN"/>
        </w:rPr>
        <w:t>0</w:t>
      </w:r>
      <w:r>
        <w:rPr>
          <w:rFonts w:eastAsia="等线"/>
          <w:lang w:eastAsia="zh-CN"/>
        </w:rPr>
        <w:t xml:space="preserve"> Players Ranking and Market Share (Ranking is based on the revenue of 202</w:t>
      </w:r>
      <w:r>
        <w:rPr>
          <w:rFonts w:eastAsia="等线" w:hint="eastAsia"/>
          <w:lang w:eastAsia="zh-CN"/>
        </w:rPr>
        <w:t>4</w:t>
      </w:r>
      <w:r>
        <w:rPr>
          <w:rFonts w:eastAsia="等线"/>
          <w:lang w:eastAsia="zh-CN"/>
        </w:rPr>
        <w:t>, continually updated)</w:t>
      </w:r>
    </w:p>
    <w:p w14:paraId="3FF9F497">
      <w:pPr>
        <w:widowControl/>
        <w:rPr>
          <w:lang w:val="pt-BR"/>
        </w:rPr>
      </w:pPr>
      <w:r>
        <w:rPr>
          <w:rFonts w:ascii="Symbol" w:eastAsia="Symbol" w:hAnsi="Symbol" w:cs="Symbol"/>
        </w:rPr>
        <w:t>·</w:t>
      </w:r>
      <w:r>
        <w:rPr>
          <w:rFonts w:ascii="宋体" w:eastAsia="宋体" w:hAnsi="宋体" w:cs="宋体" w:hint="eastAsia"/>
          <w:lang w:val="pt-BR"/>
        </w:rPr>
        <w:t xml:space="preserve">  </w:t>
      </w:r>
      <w:r>
        <w:rPr>
          <w:rStyle w:val="Strong"/>
          <w:lang w:val="pt-BR"/>
        </w:rPr>
        <w:t>Grundfos</w:t>
      </w:r>
      <w:r>
        <w:rPr>
          <w:lang w:val="pt-BR"/>
        </w:rPr>
        <w:t xml:space="preserve"> (Denmark)</w:t>
      </w:r>
    </w:p>
    <w:p w14:paraId="73291A59">
      <w:pPr>
        <w:widowControl/>
        <w:rPr>
          <w:lang w:val="pt-BR"/>
        </w:rPr>
      </w:pPr>
      <w:r>
        <w:rPr>
          <w:rFonts w:ascii="Symbol" w:eastAsia="Symbol" w:hAnsi="Symbol" w:cs="Symbol"/>
        </w:rPr>
        <w:t>·</w:t>
      </w:r>
      <w:r>
        <w:rPr>
          <w:rFonts w:ascii="宋体" w:eastAsia="宋体" w:hAnsi="宋体" w:cs="宋体" w:hint="eastAsia"/>
          <w:lang w:val="pt-BR"/>
        </w:rPr>
        <w:t xml:space="preserve">  </w:t>
      </w:r>
      <w:r>
        <w:rPr>
          <w:rStyle w:val="Strong"/>
          <w:lang w:val="pt-BR"/>
        </w:rPr>
        <w:t>Wilo SE</w:t>
      </w:r>
      <w:r>
        <w:rPr>
          <w:lang w:val="pt-BR"/>
        </w:rPr>
        <w:t xml:space="preserve"> (Germany)</w:t>
      </w:r>
    </w:p>
    <w:p w14:paraId="0AE4ABD7">
      <w:pPr>
        <w:widowControl/>
      </w:pPr>
      <w:r>
        <w:rPr>
          <w:rFonts w:ascii="Symbol" w:eastAsia="Symbol" w:hAnsi="Symbol" w:cs="Symbol"/>
        </w:rPr>
        <w:t>·</w:t>
      </w:r>
      <w:r>
        <w:rPr>
          <w:rFonts w:ascii="宋体" w:eastAsia="宋体" w:hAnsi="宋体" w:cs="宋体" w:hint="eastAsia"/>
        </w:rPr>
        <w:t xml:space="preserve">  </w:t>
      </w:r>
      <w:r>
        <w:rPr>
          <w:rStyle w:val="Strong"/>
        </w:rPr>
        <w:t>Sulzer AG</w:t>
      </w:r>
      <w:r>
        <w:t xml:space="preserve"> (Switzerland)</w:t>
      </w:r>
    </w:p>
    <w:p w14:paraId="01A112FA">
      <w:pPr>
        <w:widowControl/>
      </w:pPr>
      <w:r>
        <w:rPr>
          <w:rFonts w:ascii="Symbol" w:eastAsia="Symbol" w:hAnsi="Symbol" w:cs="Symbol"/>
        </w:rPr>
        <w:t>·</w:t>
      </w:r>
      <w:r>
        <w:rPr>
          <w:rFonts w:ascii="宋体" w:eastAsia="宋体" w:hAnsi="宋体" w:cs="宋体" w:hint="eastAsia"/>
        </w:rPr>
        <w:t xml:space="preserve">  </w:t>
      </w:r>
      <w:r>
        <w:rPr>
          <w:rStyle w:val="Strong"/>
        </w:rPr>
        <w:t>KSB SE &amp; Co. KGaA</w:t>
      </w:r>
      <w:r>
        <w:t xml:space="preserve"> (Germany)</w:t>
      </w:r>
    </w:p>
    <w:p w14:paraId="1B61B952">
      <w:pPr>
        <w:widowControl/>
      </w:pPr>
      <w:r>
        <w:rPr>
          <w:rFonts w:ascii="Symbol" w:eastAsia="Symbol" w:hAnsi="Symbol" w:cs="Symbol"/>
        </w:rPr>
        <w:t>·</w:t>
      </w:r>
      <w:r>
        <w:rPr>
          <w:rFonts w:ascii="宋体" w:eastAsia="宋体" w:hAnsi="宋体" w:cs="宋体" w:hint="eastAsia"/>
        </w:rPr>
        <w:t xml:space="preserve">  </w:t>
      </w:r>
      <w:r>
        <w:rPr>
          <w:rStyle w:val="Strong"/>
        </w:rPr>
        <w:t>Xylem Inc.</w:t>
      </w:r>
      <w:r>
        <w:t xml:space="preserve"> (United States)</w:t>
      </w:r>
    </w:p>
    <w:p w14:paraId="0F0F309F">
      <w:pPr>
        <w:widowControl/>
      </w:pPr>
      <w:r>
        <w:rPr>
          <w:rFonts w:ascii="Symbol" w:eastAsia="Symbol" w:hAnsi="Symbol" w:cs="Symbol"/>
        </w:rPr>
        <w:t>·</w:t>
      </w:r>
      <w:r>
        <w:rPr>
          <w:rFonts w:ascii="宋体" w:eastAsia="宋体" w:hAnsi="宋体" w:cs="宋体" w:hint="eastAsia"/>
        </w:rPr>
        <w:t xml:space="preserve">  </w:t>
      </w:r>
      <w:r>
        <w:rPr>
          <w:rStyle w:val="Strong"/>
        </w:rPr>
        <w:t>Ebara Corporation</w:t>
      </w:r>
      <w:r>
        <w:t xml:space="preserve"> (Japan)</w:t>
      </w:r>
    </w:p>
    <w:p w14:paraId="54C8FAB8">
      <w:pPr>
        <w:widowControl/>
      </w:pPr>
      <w:r>
        <w:rPr>
          <w:rFonts w:ascii="Symbol" w:eastAsia="Symbol" w:hAnsi="Symbol" w:cs="Symbol"/>
        </w:rPr>
        <w:t>·</w:t>
      </w:r>
      <w:r>
        <w:rPr>
          <w:rFonts w:ascii="宋体" w:eastAsia="宋体" w:hAnsi="宋体" w:cs="宋体" w:hint="eastAsia"/>
        </w:rPr>
        <w:t xml:space="preserve">  </w:t>
      </w:r>
      <w:r>
        <w:rPr>
          <w:rStyle w:val="Strong"/>
        </w:rPr>
        <w:t>Flowserve Corporation</w:t>
      </w:r>
      <w:r>
        <w:t xml:space="preserve"> (United States)</w:t>
      </w:r>
    </w:p>
    <w:p w14:paraId="3D475AD2">
      <w:pPr>
        <w:widowControl/>
        <w:rPr>
          <w:lang w:val="pt-BR"/>
        </w:rPr>
      </w:pPr>
      <w:r>
        <w:rPr>
          <w:rFonts w:ascii="Symbol" w:eastAsia="Symbol" w:hAnsi="Symbol" w:cs="Symbol"/>
        </w:rPr>
        <w:t>·</w:t>
      </w:r>
      <w:r>
        <w:rPr>
          <w:rFonts w:ascii="宋体" w:eastAsia="宋体" w:hAnsi="宋体" w:cs="宋体" w:hint="eastAsia"/>
          <w:lang w:val="pt-BR"/>
        </w:rPr>
        <w:t xml:space="preserve">  </w:t>
      </w:r>
      <w:r>
        <w:rPr>
          <w:rStyle w:val="Strong"/>
          <w:lang w:val="pt-BR"/>
        </w:rPr>
        <w:t>Caprari S.p.A.</w:t>
      </w:r>
      <w:r>
        <w:rPr>
          <w:lang w:val="pt-BR"/>
        </w:rPr>
        <w:t xml:space="preserve"> (Italy)</w:t>
      </w:r>
    </w:p>
    <w:p w14:paraId="7573F0B8">
      <w:pPr>
        <w:widowControl/>
        <w:rPr>
          <w:lang w:val="pt-BR"/>
        </w:rPr>
      </w:pPr>
      <w:r>
        <w:rPr>
          <w:rFonts w:ascii="Symbol" w:eastAsia="Symbol" w:hAnsi="Symbol" w:cs="Symbol"/>
        </w:rPr>
        <w:t>·</w:t>
      </w:r>
      <w:r>
        <w:rPr>
          <w:rFonts w:ascii="宋体" w:eastAsia="宋体" w:hAnsi="宋体" w:cs="宋体" w:hint="eastAsia"/>
          <w:lang w:val="pt-BR"/>
        </w:rPr>
        <w:t xml:space="preserve">  </w:t>
      </w:r>
      <w:r>
        <w:rPr>
          <w:rStyle w:val="Strong"/>
          <w:lang w:val="pt-BR"/>
        </w:rPr>
        <w:t>DAB Pumps S.p.A.</w:t>
      </w:r>
      <w:r>
        <w:rPr>
          <w:lang w:val="pt-BR"/>
        </w:rPr>
        <w:t xml:space="preserve"> (Italy)</w:t>
      </w:r>
    </w:p>
    <w:p w14:paraId="7BE6B927">
      <w:pPr>
        <w:widowControl/>
        <w:rPr>
          <w:lang w:val="pt-BR"/>
        </w:rPr>
      </w:pPr>
      <w:r>
        <w:rPr>
          <w:rFonts w:ascii="Symbol" w:eastAsia="Symbol" w:hAnsi="Symbol" w:cs="Symbol"/>
        </w:rPr>
        <w:t>·</w:t>
      </w:r>
      <w:r>
        <w:rPr>
          <w:rFonts w:ascii="宋体" w:eastAsia="宋体" w:hAnsi="宋体" w:cs="宋体" w:hint="eastAsia"/>
          <w:lang w:val="pt-BR"/>
        </w:rPr>
        <w:t xml:space="preserve">  </w:t>
      </w:r>
      <w:r>
        <w:rPr>
          <w:rStyle w:val="Strong"/>
          <w:lang w:val="pt-BR"/>
        </w:rPr>
        <w:t>Pedrollo S.p.A.</w:t>
      </w:r>
      <w:r>
        <w:rPr>
          <w:lang w:val="pt-BR"/>
        </w:rPr>
        <w:t xml:space="preserve"> (Italy)</w:t>
      </w:r>
    </w:p>
    <w:p w14:paraId="5D5A062D">
      <w:pPr>
        <w:widowControl/>
        <w:rPr>
          <w:lang w:val="pt-BR"/>
        </w:rPr>
      </w:pPr>
      <w:r>
        <w:rPr>
          <w:rFonts w:ascii="Symbol" w:eastAsia="Symbol" w:hAnsi="Symbol" w:cs="Symbol"/>
        </w:rPr>
        <w:t>·</w:t>
      </w:r>
      <w:r>
        <w:rPr>
          <w:rFonts w:ascii="宋体" w:eastAsia="宋体" w:hAnsi="宋体" w:cs="宋体" w:hint="eastAsia"/>
          <w:lang w:val="pt-BR"/>
        </w:rPr>
        <w:t xml:space="preserve">  </w:t>
      </w:r>
      <w:r>
        <w:rPr>
          <w:rStyle w:val="Strong"/>
          <w:lang w:val="pt-BR"/>
        </w:rPr>
        <w:t>Lowara</w:t>
      </w:r>
      <w:r>
        <w:rPr>
          <w:lang w:val="pt-BR"/>
        </w:rPr>
        <w:t xml:space="preserve"> (Italy)</w:t>
      </w:r>
    </w:p>
    <w:p w14:paraId="61ABD3AC">
      <w:pPr>
        <w:widowControl/>
        <w:rPr>
          <w:lang w:val="pt-BR"/>
        </w:rPr>
      </w:pPr>
      <w:r>
        <w:rPr>
          <w:rFonts w:ascii="Symbol" w:eastAsia="Symbol" w:hAnsi="Symbol" w:cs="Symbol"/>
        </w:rPr>
        <w:t>·</w:t>
      </w:r>
      <w:r>
        <w:rPr>
          <w:rFonts w:ascii="宋体" w:eastAsia="宋体" w:hAnsi="宋体" w:cs="宋体" w:hint="eastAsia"/>
          <w:lang w:val="pt-BR"/>
        </w:rPr>
        <w:t xml:space="preserve">  </w:t>
      </w:r>
      <w:r>
        <w:rPr>
          <w:rStyle w:val="Strong"/>
          <w:lang w:val="pt-BR"/>
        </w:rPr>
        <w:t>Calpeda S.p.A.</w:t>
      </w:r>
      <w:r>
        <w:rPr>
          <w:lang w:val="pt-BR"/>
        </w:rPr>
        <w:t xml:space="preserve"> (Italy)</w:t>
      </w:r>
    </w:p>
    <w:p w14:paraId="17E459D5">
      <w:pPr>
        <w:widowControl/>
        <w:rPr>
          <w:lang w:val="pt-BR"/>
        </w:rPr>
      </w:pPr>
      <w:r>
        <w:rPr>
          <w:rFonts w:ascii="Symbol" w:eastAsia="Symbol" w:hAnsi="Symbol" w:cs="Symbol"/>
        </w:rPr>
        <w:t>·</w:t>
      </w:r>
      <w:r>
        <w:rPr>
          <w:rFonts w:ascii="宋体" w:eastAsia="宋体" w:hAnsi="宋体" w:cs="宋体" w:hint="eastAsia"/>
          <w:lang w:val="pt-BR"/>
        </w:rPr>
        <w:t xml:space="preserve">  </w:t>
      </w:r>
      <w:r>
        <w:rPr>
          <w:rStyle w:val="Strong"/>
          <w:lang w:val="pt-BR"/>
        </w:rPr>
        <w:t>Saer Elettropompe S.p.A.</w:t>
      </w:r>
      <w:r>
        <w:rPr>
          <w:lang w:val="pt-BR"/>
        </w:rPr>
        <w:t xml:space="preserve"> (Italy)</w:t>
      </w:r>
    </w:p>
    <w:p w14:paraId="2E570CE2">
      <w:pPr>
        <w:widowControl/>
        <w:rPr>
          <w:lang w:val="pt-BR"/>
        </w:rPr>
      </w:pPr>
      <w:r>
        <w:rPr>
          <w:rFonts w:ascii="Symbol" w:eastAsia="Symbol" w:hAnsi="Symbol" w:cs="Symbol"/>
        </w:rPr>
        <w:t>·</w:t>
      </w:r>
      <w:r>
        <w:rPr>
          <w:rFonts w:ascii="宋体" w:eastAsia="宋体" w:hAnsi="宋体" w:cs="宋体" w:hint="eastAsia"/>
          <w:lang w:val="pt-BR"/>
        </w:rPr>
        <w:t xml:space="preserve">  </w:t>
      </w:r>
      <w:r>
        <w:rPr>
          <w:rStyle w:val="Strong"/>
          <w:lang w:val="pt-BR"/>
        </w:rPr>
        <w:t>Zenit Group</w:t>
      </w:r>
      <w:r>
        <w:rPr>
          <w:lang w:val="pt-BR"/>
        </w:rPr>
        <w:t xml:space="preserve"> (Italy)</w:t>
      </w:r>
    </w:p>
    <w:p w14:paraId="5C95FF09">
      <w:pPr>
        <w:widowControl/>
        <w:rPr>
          <w:lang w:val="pt-BR"/>
        </w:rPr>
      </w:pPr>
      <w:r>
        <w:rPr>
          <w:rFonts w:ascii="Symbol" w:eastAsia="Symbol" w:hAnsi="Symbol" w:cs="Symbol"/>
        </w:rPr>
        <w:t>·</w:t>
      </w:r>
      <w:r>
        <w:rPr>
          <w:rFonts w:ascii="宋体" w:eastAsia="宋体" w:hAnsi="宋体" w:cs="宋体" w:hint="eastAsia"/>
          <w:lang w:val="pt-BR"/>
        </w:rPr>
        <w:t xml:space="preserve">  </w:t>
      </w:r>
      <w:r>
        <w:rPr>
          <w:rStyle w:val="Strong"/>
          <w:lang w:val="pt-BR"/>
        </w:rPr>
        <w:t>HOMA Pumpenfabrik GmbH</w:t>
      </w:r>
      <w:r>
        <w:rPr>
          <w:lang w:val="pt-BR"/>
        </w:rPr>
        <w:t xml:space="preserve"> (Germany)</w:t>
      </w:r>
    </w:p>
    <w:p w14:paraId="0165DA4F">
      <w:pPr>
        <w:widowControl/>
      </w:pPr>
      <w:r>
        <w:rPr>
          <w:rFonts w:ascii="Symbol" w:eastAsia="Symbol" w:hAnsi="Symbol" w:cs="Symbol"/>
        </w:rPr>
        <w:t>·</w:t>
      </w:r>
      <w:r>
        <w:rPr>
          <w:rFonts w:ascii="宋体" w:eastAsia="宋体" w:hAnsi="宋体" w:cs="宋体" w:hint="eastAsia"/>
        </w:rPr>
        <w:t xml:space="preserve">  </w:t>
      </w:r>
      <w:r>
        <w:rPr>
          <w:rStyle w:val="Strong"/>
        </w:rPr>
        <w:t>Vogelsang GmbH &amp; Co. KG</w:t>
      </w:r>
      <w:r>
        <w:t xml:space="preserve"> (Germany)</w:t>
      </w:r>
    </w:p>
    <w:p w14:paraId="3B74BA9A">
      <w:pPr>
        <w:widowControl/>
      </w:pPr>
      <w:r>
        <w:rPr>
          <w:rFonts w:ascii="Symbol" w:eastAsia="Symbol" w:hAnsi="Symbol" w:cs="Symbol"/>
        </w:rPr>
        <w:t>·</w:t>
      </w:r>
      <w:r>
        <w:rPr>
          <w:rFonts w:ascii="宋体" w:eastAsia="宋体" w:hAnsi="宋体" w:cs="宋体" w:hint="eastAsia"/>
        </w:rPr>
        <w:t xml:space="preserve">  </w:t>
      </w:r>
      <w:r>
        <w:rPr>
          <w:rStyle w:val="Strong"/>
        </w:rPr>
        <w:t>Tsurumi (Europe) GmbH</w:t>
      </w:r>
      <w:r>
        <w:t xml:space="preserve"> (Germany)</w:t>
      </w:r>
    </w:p>
    <w:p w14:paraId="08277EBE">
      <w:pPr>
        <w:widowControl/>
      </w:pPr>
      <w:r>
        <w:rPr>
          <w:rFonts w:ascii="Symbol" w:eastAsia="Symbol" w:hAnsi="Symbol" w:cs="Symbol"/>
        </w:rPr>
        <w:t>·</w:t>
      </w:r>
      <w:r>
        <w:rPr>
          <w:rFonts w:ascii="宋体" w:eastAsia="宋体" w:hAnsi="宋体" w:cs="宋体" w:hint="eastAsia"/>
        </w:rPr>
        <w:t xml:space="preserve">  </w:t>
      </w:r>
      <w:r>
        <w:rPr>
          <w:rStyle w:val="Strong"/>
        </w:rPr>
        <w:t>ABS Group</w:t>
      </w:r>
      <w:r>
        <w:t xml:space="preserve"> (Sweden)</w:t>
      </w:r>
    </w:p>
    <w:p w14:paraId="6E35E0F7">
      <w:pPr>
        <w:widowControl/>
      </w:pPr>
      <w:r>
        <w:rPr>
          <w:rFonts w:ascii="Symbol" w:eastAsia="Symbol" w:hAnsi="Symbol" w:cs="Symbol"/>
        </w:rPr>
        <w:t>·</w:t>
      </w:r>
      <w:r>
        <w:rPr>
          <w:rFonts w:ascii="宋体" w:eastAsia="宋体" w:hAnsi="宋体" w:cs="宋体" w:hint="eastAsia"/>
        </w:rPr>
        <w:t xml:space="preserve">  </w:t>
      </w:r>
      <w:r>
        <w:rPr>
          <w:rStyle w:val="Strong"/>
        </w:rPr>
        <w:t>Flygt</w:t>
      </w:r>
      <w:r>
        <w:t xml:space="preserve"> (Sweden)</w:t>
      </w:r>
    </w:p>
    <w:p w14:paraId="24044870">
      <w:pPr>
        <w:widowControl/>
      </w:pPr>
      <w:r>
        <w:rPr>
          <w:rFonts w:ascii="Symbol" w:eastAsia="Symbol" w:hAnsi="Symbol" w:cs="Symbol"/>
        </w:rPr>
        <w:t>·</w:t>
      </w:r>
      <w:r>
        <w:rPr>
          <w:rFonts w:ascii="宋体" w:eastAsia="宋体" w:hAnsi="宋体" w:cs="宋体" w:hint="eastAsia"/>
        </w:rPr>
        <w:t xml:space="preserve">  </w:t>
      </w:r>
      <w:r>
        <w:rPr>
          <w:rStyle w:val="Strong"/>
        </w:rPr>
        <w:t>Franklin Electric Europa</w:t>
      </w:r>
      <w:r>
        <w:t xml:space="preserve"> (Germany)</w:t>
      </w:r>
    </w:p>
    <w:p w14:paraId="535BA8F5">
      <w:pPr>
        <w:rPr>
          <w:rFonts w:eastAsia="等线"/>
          <w:lang w:eastAsia="zh-CN"/>
        </w:rPr>
      </w:pPr>
      <w:r>
        <w:drawing>
          <wp:inline distT="0" distB="0" distL="114300" distR="114300">
            <wp:extent cx="3310890" cy="4328160"/>
            <wp:effectExtent l="0" t="0" r="3810" b="254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6"/>
                    <a:stretch>
                      <a:fillRect/>
                    </a:stretch>
                  </pic:blipFill>
                  <pic:spPr>
                    <a:xfrm>
                      <a:off x="0" y="0"/>
                      <a:ext cx="3310890" cy="4328160"/>
                    </a:xfrm>
                    <a:prstGeom prst="rect">
                      <a:avLst/>
                    </a:prstGeom>
                    <a:noFill/>
                    <a:ln>
                      <a:noFill/>
                    </a:ln>
                  </pic:spPr>
                </pic:pic>
              </a:graphicData>
            </a:graphic>
          </wp:inline>
        </w:drawing>
      </w:r>
    </w:p>
    <w:p w14:paraId="7E6DA8A6">
      <w:pPr>
        <w:rPr>
          <w:rFonts w:eastAsia="等线"/>
          <w:lang w:eastAsia="zh-CN"/>
        </w:rPr>
      </w:pPr>
      <w:hyperlink r:id="rId7" w:history="1"/>
    </w:p>
    <w:p w14:paraId="4FEBECDA">
      <w:pPr>
        <w:rPr>
          <w:rFonts w:eastAsia="等线"/>
          <w:lang w:eastAsia="zh-CN"/>
        </w:rPr>
      </w:pPr>
    </w:p>
    <w:p w14:paraId="28EA4D79">
      <w:pPr>
        <w:rPr>
          <w:rFonts w:eastAsia="等线"/>
          <w:lang w:eastAsia="zh-CN"/>
        </w:rPr>
      </w:pPr>
      <w:r>
        <w:rPr>
          <w:rFonts w:eastAsia="等线" w:hint="eastAsia"/>
          <w:lang w:eastAsia="zh-CN"/>
        </w:rPr>
        <w:t>3.</w:t>
      </w:r>
      <w:r>
        <w:t xml:space="preserve"> </w:t>
      </w:r>
      <w:r>
        <w:rPr>
          <w:rFonts w:eastAsia="等线" w:hint="eastAsia"/>
          <w:lang w:eastAsia="zh-CN"/>
        </w:rPr>
        <w:t xml:space="preserve">  Stainless Steel Submersible Groundwater Pump</w:t>
      </w:r>
      <w:r>
        <w:rPr>
          <w:rFonts w:eastAsia="等线"/>
          <w:lang w:eastAsia="zh-CN"/>
        </w:rPr>
        <w:t xml:space="preserve">, </w:t>
      </w:r>
      <w:r>
        <w:rPr>
          <w:rFonts w:eastAsia="等线" w:hint="eastAsia"/>
          <w:lang w:eastAsia="zh-CN"/>
        </w:rPr>
        <w:t>European</w:t>
      </w:r>
      <w:r>
        <w:rPr>
          <w:rFonts w:eastAsia="等线"/>
          <w:lang w:eastAsia="zh-CN"/>
        </w:rPr>
        <w:t xml:space="preserve"> Market Size, Split by Region</w:t>
      </w:r>
    </w:p>
    <w:p w14:paraId="3FAAF279">
      <w:pPr>
        <w:rPr>
          <w:rFonts w:eastAsia="等线"/>
          <w:lang w:eastAsia="zh-CN"/>
        </w:rPr>
      </w:pPr>
      <w:r>
        <w:drawing>
          <wp:inline distT="0" distB="0" distL="114300" distR="114300">
            <wp:extent cx="5269865" cy="2469515"/>
            <wp:effectExtent l="0" t="0" r="635" b="698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8"/>
                    <a:stretch>
                      <a:fillRect/>
                    </a:stretch>
                  </pic:blipFill>
                  <pic:spPr>
                    <a:xfrm>
                      <a:off x="0" y="0"/>
                      <a:ext cx="5269865" cy="2469515"/>
                    </a:xfrm>
                    <a:prstGeom prst="rect">
                      <a:avLst/>
                    </a:prstGeom>
                    <a:noFill/>
                    <a:ln>
                      <a:noFill/>
                    </a:ln>
                  </pic:spPr>
                </pic:pic>
              </a:graphicData>
            </a:graphic>
          </wp:inline>
        </w:drawing>
      </w:r>
    </w:p>
    <w:p w14:paraId="1C24EBCB">
      <w:pPr>
        <w:pStyle w:val="ListParagraph"/>
        <w:numPr>
          <w:ilvl w:val="0"/>
          <w:numId w:val="2"/>
        </w:numPr>
        <w:ind w:leftChars="0"/>
        <w:rPr>
          <w:rFonts w:eastAsia="等线"/>
          <w:lang w:eastAsia="zh-CN"/>
        </w:rPr>
      </w:pPr>
      <w:r>
        <w:rPr>
          <w:rFonts w:eastAsia="等线" w:hint="eastAsia"/>
          <w:lang w:eastAsia="zh-CN"/>
        </w:rPr>
        <w:t>Stainless Steel Submersible Groundwater Pump</w:t>
      </w:r>
      <w:r>
        <w:rPr>
          <w:rFonts w:eastAsia="等线"/>
          <w:lang w:eastAsia="zh-CN"/>
        </w:rPr>
        <w:t>,</w:t>
      </w:r>
      <w:r>
        <w:rPr>
          <w:rFonts w:eastAsia="等线" w:hint="eastAsia"/>
          <w:lang w:eastAsia="zh-CN"/>
        </w:rPr>
        <w:t xml:space="preserve"> European</w:t>
      </w:r>
      <w:r>
        <w:rPr>
          <w:rFonts w:eastAsia="等线"/>
          <w:lang w:eastAsia="zh-CN"/>
        </w:rPr>
        <w:t xml:space="preserve"> Market Size, Split by Product Segment</w:t>
      </w:r>
    </w:p>
    <w:p w14:paraId="4F768A6F">
      <w:pPr>
        <w:rPr>
          <w:rFonts w:eastAsia="等线"/>
          <w:lang w:eastAsia="zh-CN"/>
        </w:rPr>
      </w:pPr>
      <w:r>
        <w:drawing>
          <wp:inline distT="0" distB="0" distL="114300" distR="114300">
            <wp:extent cx="5269865" cy="2623820"/>
            <wp:effectExtent l="0" t="0" r="635" b="508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9"/>
                    <a:stretch>
                      <a:fillRect/>
                    </a:stretch>
                  </pic:blipFill>
                  <pic:spPr>
                    <a:xfrm>
                      <a:off x="0" y="0"/>
                      <a:ext cx="5269865" cy="2623820"/>
                    </a:xfrm>
                    <a:prstGeom prst="rect">
                      <a:avLst/>
                    </a:prstGeom>
                    <a:noFill/>
                    <a:ln>
                      <a:noFill/>
                    </a:ln>
                  </pic:spPr>
                </pic:pic>
              </a:graphicData>
            </a:graphic>
          </wp:inline>
        </w:drawing>
      </w:r>
    </w:p>
    <w:p w14:paraId="11A9AD4D">
      <w:pPr>
        <w:rPr>
          <w:rFonts w:eastAsia="等线"/>
          <w:lang w:eastAsia="zh-CN"/>
        </w:rPr>
      </w:pPr>
      <w:hyperlink r:id="rId7" w:history="1"/>
    </w:p>
    <w:p w14:paraId="356A28CF">
      <w:pPr>
        <w:rPr>
          <w:rFonts w:eastAsia="等线"/>
          <w:lang w:eastAsia="zh-CN"/>
        </w:rPr>
      </w:pPr>
    </w:p>
    <w:p w14:paraId="44AC4BC4">
      <w:pPr>
        <w:rPr>
          <w:rFonts w:eastAsia="等线"/>
          <w:lang w:eastAsia="zh-CN"/>
        </w:rPr>
      </w:pPr>
      <w:r>
        <w:rPr>
          <w:rFonts w:eastAsia="等线" w:hint="eastAsia"/>
          <w:lang w:eastAsia="zh-CN"/>
        </w:rPr>
        <w:t>5.</w:t>
      </w:r>
      <w:r>
        <w:t xml:space="preserve"> </w:t>
      </w:r>
      <w:r>
        <w:rPr>
          <w:rFonts w:eastAsia="等线" w:hint="eastAsia"/>
          <w:lang w:eastAsia="zh-CN"/>
        </w:rPr>
        <w:t xml:space="preserve">  Stainless Steel Submersible Groundwater Pump</w:t>
      </w:r>
      <w:r>
        <w:rPr>
          <w:rFonts w:eastAsia="等线"/>
          <w:lang w:eastAsia="zh-CN"/>
        </w:rPr>
        <w:t xml:space="preserve">, </w:t>
      </w:r>
      <w:r>
        <w:rPr>
          <w:rFonts w:eastAsia="等线" w:hint="eastAsia"/>
          <w:lang w:eastAsia="zh-CN"/>
        </w:rPr>
        <w:t>European</w:t>
      </w:r>
      <w:r>
        <w:rPr>
          <w:rFonts w:eastAsia="等线"/>
          <w:lang w:eastAsia="zh-CN"/>
        </w:rPr>
        <w:t xml:space="preserve"> Market Size, Split by Application Segment</w:t>
      </w:r>
    </w:p>
    <w:p w14:paraId="20E36B62">
      <w:pPr>
        <w:rPr>
          <w:rFonts w:eastAsia="等线"/>
          <w:lang w:eastAsia="zh-CN"/>
        </w:rPr>
      </w:pPr>
      <w:r>
        <w:drawing>
          <wp:inline distT="0" distB="0" distL="114300" distR="114300">
            <wp:extent cx="5268595" cy="2480945"/>
            <wp:effectExtent l="0" t="0" r="1905" b="825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0"/>
                    <a:stretch>
                      <a:fillRect/>
                    </a:stretch>
                  </pic:blipFill>
                  <pic:spPr>
                    <a:xfrm>
                      <a:off x="0" y="0"/>
                      <a:ext cx="5268595" cy="2480945"/>
                    </a:xfrm>
                    <a:prstGeom prst="rect">
                      <a:avLst/>
                    </a:prstGeom>
                    <a:noFill/>
                    <a:ln>
                      <a:noFill/>
                    </a:ln>
                  </pic:spPr>
                </pic:pic>
              </a:graphicData>
            </a:graphic>
          </wp:inline>
        </w:drawing>
      </w:r>
    </w:p>
    <w:p w14:paraId="4F9B4586">
      <w:pPr>
        <w:rPr>
          <w:rFonts w:eastAsia="等线"/>
          <w:lang w:eastAsia="zh-CN"/>
        </w:rPr>
      </w:pPr>
    </w:p>
    <w:p w14:paraId="12C704FE">
      <w:pPr>
        <w:rPr>
          <w:rFonts w:eastAsia="等线"/>
          <w:i/>
          <w:iCs/>
          <w:lang w:eastAsia="zh-CN"/>
        </w:rPr>
      </w:pPr>
    </w:p>
    <w:p w14:paraId="7817398B">
      <w:pPr>
        <w:rPr>
          <w:rFonts w:eastAsia="等线"/>
          <w:i/>
          <w:iCs/>
          <w:lang w:eastAsia="zh-CN"/>
        </w:rPr>
      </w:pPr>
    </w:p>
    <w:p w14:paraId="2E078F52">
      <w:pPr>
        <w:rPr>
          <w:rFonts w:eastAsia="等线"/>
          <w:b/>
          <w:bCs/>
          <w:i/>
          <w:iCs/>
          <w:lang w:eastAsia="zh-CN"/>
        </w:rPr>
      </w:pPr>
      <w:r>
        <w:rPr>
          <w:rFonts w:eastAsia="等线"/>
          <w:b/>
          <w:bCs/>
          <w:i/>
          <w:iCs/>
          <w:lang w:eastAsia="zh-CN"/>
        </w:rPr>
        <w:t>Based on or includes research from QYResearch: Global</w:t>
      </w:r>
      <w:r>
        <w:rPr>
          <w:rFonts w:eastAsia="等线" w:hint="eastAsia"/>
          <w:b/>
          <w:bCs/>
          <w:i/>
          <w:iCs/>
          <w:lang w:eastAsia="zh-CN"/>
        </w:rPr>
        <w:t xml:space="preserve"> and European</w:t>
      </w:r>
      <w:r>
        <w:rPr>
          <w:rFonts w:eastAsia="等线"/>
          <w:b/>
          <w:bCs/>
          <w:i/>
          <w:iCs/>
          <w:lang w:eastAsia="zh-CN"/>
        </w:rPr>
        <w:t xml:space="preserve"> </w:t>
      </w:r>
      <w:r>
        <w:rPr>
          <w:rFonts w:eastAsia="等线" w:hint="eastAsia"/>
          <w:b/>
          <w:bCs/>
          <w:i/>
          <w:iCs/>
          <w:lang w:eastAsia="zh-CN"/>
        </w:rPr>
        <w:t>Stainless Steel Submersible Groundwater Pump</w:t>
      </w:r>
      <w:r>
        <w:rPr>
          <w:rFonts w:eastAsia="等线"/>
          <w:b/>
          <w:bCs/>
          <w:i/>
          <w:iCs/>
          <w:lang w:eastAsia="zh-CN"/>
        </w:rPr>
        <w:t xml:space="preserve"> Market Report 2025-2031</w:t>
      </w:r>
    </w:p>
    <w:p w14:paraId="73120026">
      <w:pPr>
        <w:rPr>
          <w:rFonts w:eastAsia="等线"/>
          <w:i/>
          <w:iCs/>
          <w:lang w:eastAsia="zh-CN"/>
        </w:rPr>
      </w:pPr>
    </w:p>
    <w:p w14:paraId="149C96F6">
      <w:pPr>
        <w:rPr>
          <w:rFonts w:eastAsia="等线"/>
          <w:i/>
          <w:iCs/>
          <w:lang w:eastAsia="zh-CN"/>
        </w:rPr>
      </w:pPr>
    </w:p>
    <w:p w14:paraId="5658173C">
      <w:pPr>
        <w:rPr>
          <w:rFonts w:eastAsia="等线"/>
          <w:i/>
          <w:iCs/>
          <w:lang w:eastAsia="zh-CN"/>
        </w:rPr>
      </w:pPr>
    </w:p>
    <w:p w14:paraId="0C8037A9">
      <w:pPr>
        <w:jc w:val="both"/>
        <w:rPr>
          <w:rFonts w:eastAsia="等线"/>
          <w:b/>
          <w:bCs/>
          <w:u w:val="single"/>
          <w:lang w:eastAsia="zh-CN"/>
        </w:rPr>
      </w:pPr>
      <w:r>
        <w:rPr>
          <w:rFonts w:eastAsia="等线" w:hint="eastAsia"/>
          <w:b/>
          <w:bCs/>
          <w:u w:val="single"/>
          <w:lang w:eastAsia="zh-CN"/>
        </w:rPr>
        <w:t>Related Market Reports From QY Research</w:t>
      </w:r>
    </w:p>
    <w:p w14:paraId="2DE40039">
      <w:pPr>
        <w:jc w:val="both"/>
        <w:rPr>
          <w:lang w:eastAsia="zh-CN"/>
        </w:rPr>
      </w:pPr>
    </w:p>
    <w:p w14:paraId="1EE95C88">
      <w:pPr>
        <w:jc w:val="both"/>
        <w:rPr>
          <w:lang w:eastAsia="zh-CN"/>
        </w:rPr>
      </w:pPr>
      <w:r>
        <w:rPr>
          <w:rFonts w:eastAsia="等线"/>
          <w:lang w:eastAsia="zh-CN"/>
        </w:rPr>
        <w:t xml:space="preserve">QY Research Releases Comprehensive Market Reports on the </w:t>
      </w:r>
      <w:r>
        <w:rPr>
          <w:rFonts w:eastAsia="等线" w:hint="eastAsia"/>
          <w:lang w:eastAsia="zh-CN"/>
        </w:rPr>
        <w:t>Stainless Steel Submersible Groundwater Pump</w:t>
      </w:r>
      <w:r>
        <w:rPr>
          <w:rFonts w:eastAsia="等线"/>
          <w:lang w:eastAsia="zh-CN"/>
        </w:rPr>
        <w:t xml:space="preserve"> Market, as shown in the links below.</w:t>
      </w:r>
      <w:r>
        <w:rPr>
          <w:rFonts w:eastAsia="等线" w:hint="eastAsia"/>
          <w:lang w:eastAsia="zh-CN"/>
        </w:rPr>
        <w:t xml:space="preserve"> </w:t>
      </w:r>
      <w:r>
        <w:rPr>
          <w:rFonts w:eastAsia="等线"/>
          <w:lang w:eastAsia="zh-CN"/>
        </w:rPr>
        <w:t>These reports provide an in-depth analysis of the current market landscape, key trends, and future growth opportunities. If you need customized reports for specific European countries or regions, please feel free to contact us.</w:t>
      </w:r>
    </w:p>
    <w:p w14:paraId="798F8E5E">
      <w:pPr>
        <w:rPr>
          <w:rFonts w:eastAsia="等线"/>
          <w:lang w:eastAsia="zh-CN"/>
        </w:rPr>
      </w:pPr>
    </w:p>
    <w:p w14:paraId="1355987F">
      <w:pPr>
        <w:rPr>
          <w:rFonts w:eastAsia="等线"/>
          <w:lang w:eastAsia="zh-CN"/>
        </w:rPr>
      </w:pPr>
      <w:r>
        <w:rPr>
          <w:rFonts w:eastAsia="等线"/>
          <w:lang w:eastAsia="zh-CN"/>
        </w:rPr>
        <w:t>Stainless Steel Submersible Groundwater Pump - Global Market Share and Ranking, Overall Sales and Demand Forecast 2025-2031</w:t>
      </w:r>
    </w:p>
    <w:p w14:paraId="55C80CCA">
      <w:pPr>
        <w:rPr>
          <w:rFonts w:eastAsia="等线"/>
          <w:lang w:eastAsia="zh-CN"/>
        </w:rPr>
      </w:pPr>
      <w:hyperlink r:id="rId11" w:history="1">
        <w:r>
          <w:rPr>
            <w:rStyle w:val="Hyperlink"/>
            <w:rFonts w:eastAsia="等线"/>
            <w:lang w:eastAsia="zh-CN"/>
          </w:rPr>
          <w:t>reports/3610339/stainless-steel-submersible-groundwater-pump</w:t>
        </w:r>
      </w:hyperlink>
    </w:p>
    <w:p w14:paraId="769F7440">
      <w:pPr>
        <w:rPr>
          <w:rFonts w:eastAsia="等线"/>
          <w:lang w:eastAsia="zh-CN"/>
        </w:rPr>
      </w:pPr>
    </w:p>
    <w:p w14:paraId="5E3BB768">
      <w:pPr>
        <w:rPr>
          <w:rFonts w:eastAsia="等线"/>
          <w:lang w:eastAsia="zh-CN"/>
        </w:rPr>
      </w:pPr>
      <w:r>
        <w:rPr>
          <w:rFonts w:eastAsia="等线"/>
          <w:lang w:eastAsia="zh-CN"/>
        </w:rPr>
        <w:t>Global Stainless Steel Submersible Groundwater Pump Sales Market Report, Competitive Analysis and Regional Opportunities 2025-2031</w:t>
      </w:r>
    </w:p>
    <w:p w14:paraId="33F7E9DF">
      <w:pPr>
        <w:rPr>
          <w:rFonts w:eastAsia="等线"/>
          <w:lang w:eastAsia="zh-CN"/>
        </w:rPr>
      </w:pPr>
      <w:hyperlink r:id="rId12" w:history="1">
        <w:r>
          <w:rPr>
            <w:rStyle w:val="Hyperlink"/>
            <w:rFonts w:eastAsia="等线"/>
            <w:lang w:eastAsia="zh-CN"/>
          </w:rPr>
          <w:t>reports/3610334/stainless-steel-submersible-groundwater-pump</w:t>
        </w:r>
      </w:hyperlink>
    </w:p>
    <w:p w14:paraId="48D3E8BA">
      <w:pPr>
        <w:rPr>
          <w:rFonts w:eastAsia="等线"/>
          <w:lang w:eastAsia="zh-CN"/>
        </w:rPr>
      </w:pPr>
    </w:p>
    <w:p w14:paraId="049403D0">
      <w:pPr>
        <w:rPr>
          <w:rFonts w:eastAsia="等线"/>
          <w:lang w:eastAsia="zh-CN"/>
        </w:rPr>
      </w:pPr>
      <w:r>
        <w:rPr>
          <w:rFonts w:eastAsia="等线"/>
          <w:lang w:eastAsia="zh-CN"/>
        </w:rPr>
        <w:t>Global Stainless Steel Submersible Groundwater Pump Market Research Report 2025</w:t>
      </w:r>
    </w:p>
    <w:p w14:paraId="3D62E6AE">
      <w:pPr>
        <w:rPr>
          <w:rFonts w:eastAsia="等线"/>
          <w:lang w:eastAsia="zh-CN"/>
        </w:rPr>
      </w:pPr>
      <w:hyperlink r:id="rId13" w:history="1">
        <w:r>
          <w:rPr>
            <w:rStyle w:val="Hyperlink"/>
            <w:rFonts w:eastAsia="等线"/>
            <w:lang w:eastAsia="zh-CN"/>
          </w:rPr>
          <w:t>reports/3610340/stainless-steel-submersible-groundwater-pump</w:t>
        </w:r>
      </w:hyperlink>
    </w:p>
    <w:p w14:paraId="16FFA90B">
      <w:pPr>
        <w:rPr>
          <w:rFonts w:eastAsia="等线"/>
          <w:lang w:val="fr-CH" w:eastAsia="zh-CN"/>
        </w:rPr>
      </w:pPr>
      <w:bookmarkStart w:id="0" w:name="_GoBack"/>
      <w:bookmarkEnd w:id="0"/>
      <w:hyperlink r:id="rId7" w:history="1"/>
    </w:p>
    <w:p w14:paraId="6904C9DC">
      <w:pPr>
        <w:rPr>
          <w:rFonts w:eastAsia="等线"/>
          <w:lang w:val="fr-CH" w:eastAsia="zh-CN"/>
        </w:rPr>
      </w:pPr>
    </w:p>
    <w:p w14:paraId="77C0E5F8">
      <w:pPr>
        <w:rPr>
          <w:rFonts w:eastAsia="等线"/>
          <w:lang w:val="fr-CH" w:eastAsia="zh-CN"/>
        </w:rPr>
      </w:pPr>
    </w:p>
    <w:p w14:paraId="3E434E42">
      <w:pPr>
        <w:rPr>
          <w:rFonts w:eastAsia="等线"/>
          <w:i/>
          <w:iCs/>
          <w:lang w:val="fr-CH" w:eastAsia="zh-CN"/>
        </w:rPr>
      </w:pPr>
    </w:p>
    <w:sectPr>
      <w:footerReference w:type="even" r:id="rId14"/>
      <w:pgSz w:w="11906" w:h="16838"/>
      <w:pgMar w:top="1440" w:right="1800" w:bottom="1440" w:left="1800" w:header="851" w:footer="992" w:gutter="0"/>
      <w:cols w:num="1" w:space="425"/>
      <w:titlePg/>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PMingLiU">
    <w:altName w:val="Segoe Print"/>
    <w:panose1 w:val="00000000000000000000"/>
    <w:charset w:val="88"/>
    <w:family w:val="roman"/>
    <w:pitch w:val="default"/>
    <w:sig w:usb0="00000000" w:usb1="00000000" w:usb2="00000000" w:usb3="00000000" w:csb0="00100000" w:csb1="00000000"/>
  </w:font>
  <w:font w:name="Calibri Light">
    <w:panose1 w:val="020F03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Segoe Print">
    <w:panose1 w:val="02000600000000000000"/>
    <w:charset w:val="00"/>
    <w:family w:val="auto"/>
    <w:pitch w:val="default"/>
    <w:sig w:usb0="0000028F" w:usb1="00000000" w:usb2="00000000" w:usb3="00000000" w:csb0="2000009F" w:csb1="4701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jc w:val="center"/>
      <w:rPr>
        <w:sz w:val="20"/>
      </w:rPr>
    </w:pPr>
    <w:r>
      <w:rPr>
        <w:sz w:val="20"/>
      </w:rPr>
      <w:t>QYResearch | market@qyresearch.com | www.qyresearch.com.cn</w:t>
    </w: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11AC2A77"/>
    <w:multiLevelType w:val="multilevel"/>
    <w:tmpl w:val="11AC2A77"/>
    <w:lvl w:ilvl="0">
      <w:start w:val="4"/>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abstractNum w:abstractNumId="1">
    <w:nsid w:val="5C97631A"/>
    <w:multiLevelType w:val="multilevel"/>
    <w:tmpl w:val="5C97631A"/>
    <w:lvl w:ilvl="0">
      <w:start w:val="1"/>
      <w:numFmt w:val="decimal"/>
      <w:lvlText w:val="%1."/>
      <w:lvlJc w:val="left"/>
      <w:pPr>
        <w:ind w:left="360" w:hanging="360"/>
      </w:pPr>
      <w:rPr>
        <w:rFonts w:hint="default"/>
      </w:rPr>
    </w:lvl>
    <w:lvl w:ilvl="1">
      <w:start w:val="1"/>
      <w:numFmt w:val="ideographTraditional"/>
      <w:lvlText w:val="%2、"/>
      <w:lvlJc w:val="left"/>
      <w:pPr>
        <w:ind w:left="960" w:hanging="480"/>
      </w:pPr>
    </w:lvl>
    <w:lvl w:ilvl="2">
      <w:start w:val="1"/>
      <w:numFmt w:val="lowerRoman"/>
      <w:lvlText w:val="%3."/>
      <w:lvlJc w:val="right"/>
      <w:pPr>
        <w:ind w:left="1440" w:hanging="480"/>
      </w:pPr>
    </w:lvl>
    <w:lvl w:ilvl="3">
      <w:start w:val="1"/>
      <w:numFmt w:val="decimal"/>
      <w:lvlText w:val="%4."/>
      <w:lvlJc w:val="left"/>
      <w:pPr>
        <w:ind w:left="1920" w:hanging="480"/>
      </w:pPr>
    </w:lvl>
    <w:lvl w:ilvl="4">
      <w:start w:val="1"/>
      <w:numFmt w:val="ideographTraditional"/>
      <w:lvlText w:val="%5、"/>
      <w:lvlJc w:val="left"/>
      <w:pPr>
        <w:ind w:left="2400" w:hanging="480"/>
      </w:pPr>
    </w:lvl>
    <w:lvl w:ilvl="5">
      <w:start w:val="1"/>
      <w:numFmt w:val="lowerRoman"/>
      <w:lvlText w:val="%6."/>
      <w:lvlJc w:val="right"/>
      <w:pPr>
        <w:ind w:left="2880" w:hanging="480"/>
      </w:pPr>
    </w:lvl>
    <w:lvl w:ilvl="6">
      <w:start w:val="1"/>
      <w:numFmt w:val="decimal"/>
      <w:lvlText w:val="%7."/>
      <w:lvlJc w:val="left"/>
      <w:pPr>
        <w:ind w:left="3360" w:hanging="480"/>
      </w:pPr>
    </w:lvl>
    <w:lvl w:ilvl="7">
      <w:start w:val="1"/>
      <w:numFmt w:val="ideographTraditional"/>
      <w:lvlText w:val="%8、"/>
      <w:lvlJc w:val="left"/>
      <w:pPr>
        <w:ind w:left="3840" w:hanging="480"/>
      </w:pPr>
    </w:lvl>
    <w:lvl w:ilvl="8">
      <w:start w:val="1"/>
      <w:numFmt w:val="lowerRoman"/>
      <w:lvlText w:val="%9."/>
      <w:lvlJc w:val="right"/>
      <w:pPr>
        <w:ind w:left="4320" w:hanging="4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480"/>
  <w:evenAndOddHeaders/>
  <w:noPunctuationKerning/>
  <w:characterSpacingControl w:val="doNotCompress"/>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16DC"/>
    <w:rsid w:val="000360AC"/>
    <w:rsid w:val="000442A1"/>
    <w:rsid w:val="00052613"/>
    <w:rsid w:val="000C567E"/>
    <w:rsid w:val="000C787E"/>
    <w:rsid w:val="000F36B5"/>
    <w:rsid w:val="000F3919"/>
    <w:rsid w:val="0011222E"/>
    <w:rsid w:val="00134F8C"/>
    <w:rsid w:val="0016437B"/>
    <w:rsid w:val="001B49AF"/>
    <w:rsid w:val="001D58C4"/>
    <w:rsid w:val="002201C7"/>
    <w:rsid w:val="00224FBB"/>
    <w:rsid w:val="00281067"/>
    <w:rsid w:val="002865F6"/>
    <w:rsid w:val="00294059"/>
    <w:rsid w:val="002C2E75"/>
    <w:rsid w:val="002E08E0"/>
    <w:rsid w:val="002E4950"/>
    <w:rsid w:val="002F160F"/>
    <w:rsid w:val="00307E96"/>
    <w:rsid w:val="003134CA"/>
    <w:rsid w:val="00325B69"/>
    <w:rsid w:val="00344335"/>
    <w:rsid w:val="0036218E"/>
    <w:rsid w:val="003877D9"/>
    <w:rsid w:val="003C2081"/>
    <w:rsid w:val="0040459D"/>
    <w:rsid w:val="00422EB1"/>
    <w:rsid w:val="00441DB4"/>
    <w:rsid w:val="004924FF"/>
    <w:rsid w:val="004A43B3"/>
    <w:rsid w:val="004C38DA"/>
    <w:rsid w:val="004E07BD"/>
    <w:rsid w:val="004E687D"/>
    <w:rsid w:val="005114E7"/>
    <w:rsid w:val="00546E4B"/>
    <w:rsid w:val="00566F63"/>
    <w:rsid w:val="005B5813"/>
    <w:rsid w:val="005B6ED1"/>
    <w:rsid w:val="005D64F5"/>
    <w:rsid w:val="005E370D"/>
    <w:rsid w:val="006033D2"/>
    <w:rsid w:val="00627846"/>
    <w:rsid w:val="00630E29"/>
    <w:rsid w:val="00657732"/>
    <w:rsid w:val="00664665"/>
    <w:rsid w:val="00666EC4"/>
    <w:rsid w:val="006E154F"/>
    <w:rsid w:val="00713A34"/>
    <w:rsid w:val="00735AE6"/>
    <w:rsid w:val="00744445"/>
    <w:rsid w:val="00754E99"/>
    <w:rsid w:val="007612D0"/>
    <w:rsid w:val="00774DFF"/>
    <w:rsid w:val="00796E24"/>
    <w:rsid w:val="007C5154"/>
    <w:rsid w:val="007C7B01"/>
    <w:rsid w:val="007D603E"/>
    <w:rsid w:val="00802028"/>
    <w:rsid w:val="00824840"/>
    <w:rsid w:val="008753E6"/>
    <w:rsid w:val="00883AEF"/>
    <w:rsid w:val="008B3E20"/>
    <w:rsid w:val="008D1CDE"/>
    <w:rsid w:val="008E19E8"/>
    <w:rsid w:val="008E2646"/>
    <w:rsid w:val="008E4F08"/>
    <w:rsid w:val="00904A17"/>
    <w:rsid w:val="00907DCC"/>
    <w:rsid w:val="009216FE"/>
    <w:rsid w:val="00943DDE"/>
    <w:rsid w:val="00974EB8"/>
    <w:rsid w:val="009A291E"/>
    <w:rsid w:val="009E508B"/>
    <w:rsid w:val="009E5F22"/>
    <w:rsid w:val="00A10C98"/>
    <w:rsid w:val="00A15462"/>
    <w:rsid w:val="00A30554"/>
    <w:rsid w:val="00A35BF1"/>
    <w:rsid w:val="00A41F0A"/>
    <w:rsid w:val="00A45AF6"/>
    <w:rsid w:val="00A73DDF"/>
    <w:rsid w:val="00A765E6"/>
    <w:rsid w:val="00A80569"/>
    <w:rsid w:val="00A86B2F"/>
    <w:rsid w:val="00AB1F8D"/>
    <w:rsid w:val="00AC44C0"/>
    <w:rsid w:val="00AD63CA"/>
    <w:rsid w:val="00AE1C14"/>
    <w:rsid w:val="00B20472"/>
    <w:rsid w:val="00B21570"/>
    <w:rsid w:val="00B36E33"/>
    <w:rsid w:val="00B90B21"/>
    <w:rsid w:val="00B921C4"/>
    <w:rsid w:val="00BB1E3A"/>
    <w:rsid w:val="00BB2633"/>
    <w:rsid w:val="00BB77BE"/>
    <w:rsid w:val="00BC1F08"/>
    <w:rsid w:val="00BC6DD7"/>
    <w:rsid w:val="00BD6525"/>
    <w:rsid w:val="00C27840"/>
    <w:rsid w:val="00C377BE"/>
    <w:rsid w:val="00C37844"/>
    <w:rsid w:val="00C4118F"/>
    <w:rsid w:val="00C45483"/>
    <w:rsid w:val="00C60637"/>
    <w:rsid w:val="00C75D8F"/>
    <w:rsid w:val="00C90771"/>
    <w:rsid w:val="00C91A8D"/>
    <w:rsid w:val="00CB007E"/>
    <w:rsid w:val="00CB632C"/>
    <w:rsid w:val="00D2518A"/>
    <w:rsid w:val="00D8108D"/>
    <w:rsid w:val="00DA2B65"/>
    <w:rsid w:val="00DA5CE5"/>
    <w:rsid w:val="00DA7755"/>
    <w:rsid w:val="00DB0A04"/>
    <w:rsid w:val="00DE76F6"/>
    <w:rsid w:val="00E047EB"/>
    <w:rsid w:val="00E1078D"/>
    <w:rsid w:val="00E23494"/>
    <w:rsid w:val="00E4139A"/>
    <w:rsid w:val="00E5470C"/>
    <w:rsid w:val="00E84D6A"/>
    <w:rsid w:val="00E916DC"/>
    <w:rsid w:val="00EB6ABF"/>
    <w:rsid w:val="00ED6638"/>
    <w:rsid w:val="00EF45CB"/>
    <w:rsid w:val="00EF5404"/>
    <w:rsid w:val="00F130B2"/>
    <w:rsid w:val="00F151D4"/>
    <w:rsid w:val="00F85CA2"/>
    <w:rsid w:val="058368B9"/>
    <w:rsid w:val="5A9102A6"/>
    <w:rsid w:val="5C2E7C52"/>
    <w:rsid w:val="7CF221F9"/>
    <w:rsid w:val="7D716B5D"/>
    <w:rsid w:val="7FCE32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qFormat="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semiHidden="0" w:qFormat="1"/>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pPr>
    <w:rPr>
      <w:rFonts w:asciiTheme="minorHAnsi" w:eastAsiaTheme="minorEastAsia" w:hAnsiTheme="minorHAnsi" w:cstheme="minorBidi"/>
      <w:kern w:val="2"/>
      <w:sz w:val="24"/>
      <w:szCs w:val="22"/>
      <w:lang w:val="en-US" w:eastAsia="zh-TW" w:bidi="ar-SA"/>
      <w14:ligatures w14:val="standardContextual"/>
    </w:rPr>
  </w:style>
  <w:style w:type="paragraph" w:styleId="Heading1">
    <w:name w:val="heading 1"/>
    <w:basedOn w:val="Normal"/>
    <w:next w:val="Normal"/>
    <w:link w:val="1"/>
    <w:uiPriority w:val="9"/>
    <w:qFormat/>
    <w:pPr>
      <w:keepNext/>
      <w:spacing w:before="180" w:after="180" w:line="720" w:lineRule="auto"/>
      <w:outlineLvl w:val="0"/>
    </w:pPr>
    <w:rPr>
      <w:rFonts w:asciiTheme="majorHAnsi" w:eastAsiaTheme="majorEastAsia" w:hAnsiTheme="majorHAnsi" w:cstheme="majorBidi"/>
      <w:b/>
      <w:bCs/>
      <w:kern w:val="52"/>
      <w:sz w:val="52"/>
      <w:szCs w:val="52"/>
    </w:rPr>
  </w:style>
  <w:style w:type="paragraph" w:styleId="Heading2">
    <w:name w:val="heading 2"/>
    <w:basedOn w:val="Normal"/>
    <w:link w:val="2"/>
    <w:uiPriority w:val="9"/>
    <w:qFormat/>
    <w:pPr>
      <w:widowControl/>
      <w:spacing w:before="100" w:beforeAutospacing="1" w:after="100" w:afterAutospacing="1"/>
      <w:outlineLvl w:val="1"/>
    </w:pPr>
    <w:rPr>
      <w:rFonts w:ascii="PMingLiU" w:eastAsia="PMingLiU" w:hAnsi="PMingLiU" w:cs="PMingLiU"/>
      <w:b/>
      <w:bCs/>
      <w:kern w:val="0"/>
      <w:sz w:val="36"/>
      <w:szCs w:val="36"/>
    </w:rPr>
  </w:style>
  <w:style w:type="paragraph" w:styleId="Heading3">
    <w:name w:val="heading 3"/>
    <w:basedOn w:val="Normal"/>
    <w:next w:val="Normal"/>
    <w:link w:val="3"/>
    <w:uiPriority w:val="9"/>
    <w:semiHidden/>
    <w:unhideWhenUsed/>
    <w:qFormat/>
    <w:pPr>
      <w:keepNext/>
      <w:spacing w:line="720" w:lineRule="auto"/>
      <w:outlineLvl w:val="2"/>
    </w:pPr>
    <w:rPr>
      <w:rFonts w:asciiTheme="majorHAnsi" w:eastAsiaTheme="majorEastAsia" w:hAnsiTheme="majorHAnsi" w:cstheme="majorBidi"/>
      <w:b/>
      <w:bCs/>
      <w:sz w:val="36"/>
      <w:szCs w:val="36"/>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Footer">
    <w:name w:val="footer"/>
    <w:basedOn w:val="Normal"/>
    <w:link w:val="a0"/>
    <w:uiPriority w:val="99"/>
    <w:unhideWhenUsed/>
    <w:qFormat/>
    <w:pPr>
      <w:tabs>
        <w:tab w:val="center" w:pos="4153"/>
        <w:tab w:val="right" w:pos="8306"/>
      </w:tabs>
      <w:snapToGrid w:val="0"/>
    </w:pPr>
    <w:rPr>
      <w:sz w:val="20"/>
      <w:szCs w:val="20"/>
    </w:rPr>
  </w:style>
  <w:style w:type="paragraph" w:styleId="Header">
    <w:name w:val="header"/>
    <w:basedOn w:val="Normal"/>
    <w:link w:val="a"/>
    <w:uiPriority w:val="99"/>
    <w:unhideWhenUsed/>
    <w:qFormat/>
    <w:pPr>
      <w:tabs>
        <w:tab w:val="center" w:pos="4153"/>
        <w:tab w:val="right" w:pos="8306"/>
      </w:tabs>
      <w:snapToGrid w:val="0"/>
    </w:pPr>
    <w:rPr>
      <w:sz w:val="20"/>
      <w:szCs w:val="20"/>
    </w:rPr>
  </w:style>
  <w:style w:type="paragraph" w:styleId="NormalWeb">
    <w:name w:val="Normal (Web)"/>
    <w:basedOn w:val="Normal"/>
    <w:uiPriority w:val="99"/>
    <w:semiHidden/>
    <w:unhideWhenUsed/>
    <w:qFormat/>
    <w:pPr>
      <w:widowControl/>
      <w:spacing w:before="100" w:beforeAutospacing="1" w:after="100" w:afterAutospacing="1"/>
    </w:pPr>
    <w:rPr>
      <w:rFonts w:ascii="PMingLiU" w:eastAsia="PMingLiU" w:hAnsi="PMingLiU" w:cs="PMingLiU"/>
      <w:kern w:val="0"/>
      <w:szCs w:val="24"/>
      <w14:ligatures w14:val="none"/>
    </w:rPr>
  </w:style>
  <w:style w:type="character" w:styleId="Strong">
    <w:name w:val="Strong"/>
    <w:basedOn w:val="DefaultParagraphFont"/>
    <w:uiPriority w:val="22"/>
    <w:qFormat/>
    <w:rPr>
      <w:b/>
      <w:bCs/>
    </w:rPr>
  </w:style>
  <w:style w:type="character" w:styleId="Emphasis">
    <w:name w:val="Emphasis"/>
    <w:basedOn w:val="DefaultParagraphFont"/>
    <w:uiPriority w:val="20"/>
    <w:qFormat/>
    <w:rPr>
      <w:i/>
      <w:iCs/>
    </w:rPr>
  </w:style>
  <w:style w:type="character" w:styleId="Hyperlink">
    <w:name w:val="Hyperlink"/>
    <w:basedOn w:val="DefaultParagraphFont"/>
    <w:uiPriority w:val="99"/>
    <w:unhideWhenUsed/>
    <w:qFormat/>
    <w:rPr>
      <w:color w:val="0563C1" w:themeColor="hyperlink"/>
      <w:u w:val="single"/>
      <w14:textFill>
        <w14:solidFill>
          <w14:schemeClr w14:val="hlink"/>
        </w14:solidFill>
      </w14:textFill>
    </w:rPr>
  </w:style>
  <w:style w:type="character" w:customStyle="1" w:styleId="1">
    <w:name w:val="标题 1 字符"/>
    <w:basedOn w:val="DefaultParagraphFont"/>
    <w:link w:val="Heading1"/>
    <w:uiPriority w:val="9"/>
    <w:qFormat/>
    <w:rPr>
      <w:rFonts w:asciiTheme="majorHAnsi" w:eastAsiaTheme="majorEastAsia" w:hAnsiTheme="majorHAnsi" w:cstheme="majorBidi"/>
      <w:b/>
      <w:bCs/>
      <w:kern w:val="52"/>
      <w:sz w:val="52"/>
      <w:szCs w:val="52"/>
    </w:rPr>
  </w:style>
  <w:style w:type="character" w:customStyle="1" w:styleId="2">
    <w:name w:val="标题 2 字符"/>
    <w:basedOn w:val="DefaultParagraphFont"/>
    <w:link w:val="Heading2"/>
    <w:uiPriority w:val="9"/>
    <w:qFormat/>
    <w:rPr>
      <w:rFonts w:ascii="PMingLiU" w:eastAsia="PMingLiU" w:hAnsi="PMingLiU" w:cs="PMingLiU"/>
      <w:b/>
      <w:bCs/>
      <w:kern w:val="0"/>
      <w:sz w:val="36"/>
      <w:szCs w:val="36"/>
    </w:rPr>
  </w:style>
  <w:style w:type="character" w:customStyle="1" w:styleId="3">
    <w:name w:val="标题 3 字符"/>
    <w:basedOn w:val="DefaultParagraphFont"/>
    <w:link w:val="Heading3"/>
    <w:uiPriority w:val="9"/>
    <w:semiHidden/>
    <w:qFormat/>
    <w:rPr>
      <w:rFonts w:asciiTheme="majorHAnsi" w:eastAsiaTheme="majorEastAsia" w:hAnsiTheme="majorHAnsi" w:cstheme="majorBidi"/>
      <w:b/>
      <w:bCs/>
      <w:sz w:val="36"/>
      <w:szCs w:val="36"/>
    </w:rPr>
  </w:style>
  <w:style w:type="paragraph" w:styleId="ListParagraph">
    <w:name w:val="List Paragraph"/>
    <w:basedOn w:val="Normal"/>
    <w:uiPriority w:val="34"/>
    <w:qFormat/>
    <w:pPr>
      <w:ind w:left="480" w:leftChars="200"/>
    </w:pPr>
  </w:style>
  <w:style w:type="character" w:customStyle="1" w:styleId="a">
    <w:name w:val="页眉 字符"/>
    <w:basedOn w:val="DefaultParagraphFont"/>
    <w:link w:val="Header"/>
    <w:uiPriority w:val="99"/>
    <w:qFormat/>
    <w:rPr>
      <w:sz w:val="20"/>
      <w:szCs w:val="20"/>
    </w:rPr>
  </w:style>
  <w:style w:type="character" w:customStyle="1" w:styleId="a0">
    <w:name w:val="页脚 字符"/>
    <w:basedOn w:val="DefaultParagraphFont"/>
    <w:link w:val="Footer"/>
    <w:uiPriority w:val="99"/>
    <w:qFormat/>
    <w:rPr>
      <w:sz w:val="20"/>
      <w:szCs w:val="20"/>
    </w:rPr>
  </w:style>
  <w:style w:type="character" w:customStyle="1" w:styleId="10">
    <w:name w:val="未处理的提及1"/>
    <w:basedOn w:val="DefaultParagraphFont"/>
    <w:uiPriority w:val="99"/>
    <w:semiHidden/>
    <w:unhideWhenUsed/>
    <w:qFormat/>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hyperlink" Target="https://www.qyresearch.com/reports/3610339/stainless-steel-submersible-groundwater-pump" TargetMode="External" /><Relationship Id="rId12" Type="http://schemas.openxmlformats.org/officeDocument/2006/relationships/hyperlink" Target="https://www.qyresearch.com/reports/3610334/stainless-steel-submersible-groundwater-pump" TargetMode="External" /><Relationship Id="rId13" Type="http://schemas.openxmlformats.org/officeDocument/2006/relationships/hyperlink" Target="https://www.qyresearch.com/reports/3610340/stainless-steel-submersible-groundwater-pump" TargetMode="External" /><Relationship Id="rId14" Type="http://schemas.openxmlformats.org/officeDocument/2006/relationships/footer" Target="footer1.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hyperlink" Target="https://www.qyresearch.com/" TargetMode="External"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435</Words>
  <Characters>2679</Characters>
  <Application>Microsoft Office Word</Application>
  <DocSecurity>0</DocSecurity>
  <Lines>33</Lines>
  <Paragraphs>9</Paragraphs>
  <ScaleCrop>false</ScaleCrop>
  <Company/>
  <LinksUpToDate>false</LinksUpToDate>
  <CharactersWithSpaces>3101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Kira</dc:creator>
  <cp:lastModifiedBy>*星*空夜@话</cp:lastModifiedBy>
  <cp:revision>48</cp:revision>
  <dcterms:created xsi:type="dcterms:W3CDTF">2024-10-31T20:17:00Z</dcterms:created>
  <dcterms:modified xsi:type="dcterms:W3CDTF">2025-02-07T08:18:30Z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AE48414F6EA9404D89F2A54BA8CC9123_12</vt:lpwstr>
  </property>
  <property fmtid="{D5CDD505-2E9C-101B-9397-08002B2CF9AE}" pid="3" name="KSOProductBuildVer">
    <vt:lpwstr>2052-12.1.0.19302</vt:lpwstr>
  </property>
  <property fmtid="{D5CDD505-2E9C-101B-9397-08002B2CF9AE}" pid="4" name="KSOTemplateDocerSaveRecord">
    <vt:lpwstr>eyJoZGlkIjoiMDYzNTE3ZmJhYmZjY2ZiNzUxNTI1ZTRkNzNkYTA1OTIiLCJ1c2VySWQiOiIyMzk0NzU0OTUifQ==</vt:lpwstr>
  </property>
</Properties>
</file>