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汽车碰撞安全仿真软件市场分析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预计全球</w:t>
      </w:r>
      <w:r>
        <w:rPr>
          <w:rFonts w:hint="eastAsia"/>
          <w:lang w:eastAsia="zh-CN"/>
        </w:rPr>
        <w:t>年复合增长率（2025-2031）为6.8%</w:t>
      </w:r>
    </w:p>
    <w:bookmarkEnd w:id="0"/>
    <w:p w14:paraId="0A972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07BD8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碰撞安全仿真软件是通过虚拟建模技术，模拟车辆在不同碰撞场景下的动态响应（如变形、应力分布、能量吸收），辅助工程师优化车身结构设计与材料选型，从而提升车辆安全性能的数字化工具。其核心价值体现在：</w:t>
      </w:r>
    </w:p>
    <w:p w14:paraId="47388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研发效率提升：通过虚拟测试替代30%-50%的实车碰撞试验，缩短新车开发周期6-12个月。</w:t>
      </w:r>
    </w:p>
    <w:p w14:paraId="06143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成本优化：单次虚拟碰撞测试成本约1万美元，仅为实车测试的1/10。</w:t>
      </w:r>
    </w:p>
    <w:p w14:paraId="4AA38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安全性能突破：支持超高速碰撞（100km/h以上）、多角度碰撞等极端场景模拟，推动安全标准升级。</w:t>
      </w:r>
    </w:p>
    <w:p w14:paraId="2E118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技术演进路径：</w:t>
      </w:r>
    </w:p>
    <w:p w14:paraId="65CC0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2010-2020年：有限元分析（FEA）技术主导，以ANSYS、Dassault Systèmes为代表。</w:t>
      </w:r>
    </w:p>
    <w:p w14:paraId="12647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2020-2030年：AI驱动的实时仿真技术崛起，如Altair的HyperCrash与深度学习结合，预测精度提升40%。</w:t>
      </w:r>
    </w:p>
    <w:p w14:paraId="661FA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75815"/>
            <wp:effectExtent l="0" t="0" r="8255" b="635"/>
            <wp:docPr id="1" name="图片 1" descr="汽车碰撞安全仿真软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汽车碰撞安全仿真软件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22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二、供应链结构与竞争格局</w:t>
      </w:r>
    </w:p>
    <w:p w14:paraId="15D28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全球供应链结构</w:t>
      </w:r>
    </w:p>
    <w:p w14:paraId="68588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上游：物理引擎（占比35%）、材料数据库（25%）、高性能计算（20%）、算法开发（20%）。</w:t>
      </w:r>
    </w:p>
    <w:p w14:paraId="0C41C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中游：软件开发商主导，ANSYS、Dassault Systèmes等企业占据高端市场，中国企业以定制化服务切入中低端。</w:t>
      </w:r>
    </w:p>
    <w:p w14:paraId="0287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下游：汽车制造商（OEM）占比70%，交通安全研究机构占比30%。</w:t>
      </w:r>
    </w:p>
    <w:p w14:paraId="5F568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区域竞争格局</w:t>
      </w:r>
    </w:p>
    <w:p w14:paraId="55D9C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北美市场：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最新调研报告显示，全球最大市场（份额38%），法规驱动需求旺盛（如美国FMVSS 208标准）。</w:t>
      </w:r>
    </w:p>
    <w:p w14:paraId="596DE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欧洲市场：德国、法国车企主导，ESI、BETA CAE Systems等本土企业占据技术高地。</w:t>
      </w:r>
    </w:p>
    <w:p w14:paraId="21D2F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亚太市场：中国、印度需求增速超15%，但本土企业技术能力仍落后欧美3-5年。</w:t>
      </w:r>
    </w:p>
    <w:p w14:paraId="4B6A4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24A4A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企业名称国家/地区核心产品市场地位技术亮点</w:t>
      </w:r>
    </w:p>
    <w:p w14:paraId="045D0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ANSYS, Inc.美国LS-DYNA（碰撞模拟黄金标准）全球市占率25%，高端市场领导者支持10亿级网格划分，模拟精度达毫米级</w:t>
      </w:r>
    </w:p>
    <w:p w14:paraId="2D15F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Dassault Systèmes法国SIMULIA Abaqus全球市占率20%，多物理场耦合专家集成3D EXPERIENCE平台，实现设计-仿真闭环</w:t>
      </w:r>
    </w:p>
    <w:p w14:paraId="7B8A8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ESI Group法国Virtual Performance Solution欧洲市占率18%，电池包模拟领先电池热失控仿真技术覆盖90%主流电芯类型</w:t>
      </w:r>
    </w:p>
    <w:p w14:paraId="58C50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Altair Engineering Inc.美国HyperCrash（AI驱动）北美市占率15%，轻量化设计标杆深度学习算法减少计算时间50%Siemens Digital Industries Software德国</w:t>
      </w:r>
    </w:p>
    <w:p w14:paraId="1CEE7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Simcenter 3D全球市占率12%，工业软件巨头与NX CAD无缝集成，支持多学科优化</w:t>
      </w:r>
    </w:p>
    <w:p w14:paraId="2AA86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中国企业竞争力：</w:t>
      </w:r>
    </w:p>
    <w:p w14:paraId="5D816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安世亚太：本土化服务优势，占据中国中低端市场30%份额，但高端算法依赖进口。</w:t>
      </w:r>
    </w:p>
    <w:p w14:paraId="1D7C8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霍莱沃：电磁仿真与碰撞仿真结合，在自动驾驶传感器布局优化领域表现突出。</w:t>
      </w:r>
    </w:p>
    <w:p w14:paraId="469FA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四、政策环境与合规驱动</w:t>
      </w:r>
    </w:p>
    <w:p w14:paraId="2586D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全球政策趋势</w:t>
      </w:r>
    </w:p>
    <w:p w14:paraId="39EAE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美国：FMVSS 208标准升级，要求2025年起所有新车必须通过虚拟侧碰测试。</w:t>
      </w:r>
    </w:p>
    <w:p w14:paraId="13218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欧盟：2026年实施GSR II法规，强制要求L3级自动驾驶车辆通过虚拟碰撞验证。</w:t>
      </w:r>
    </w:p>
    <w:p w14:paraId="52033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中国：C-NCAP 2024版新增行人保护虚拟测试，推动本土软件需求增长。</w:t>
      </w:r>
    </w:p>
    <w:p w14:paraId="5D8F8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合规升级路径</w:t>
      </w:r>
    </w:p>
    <w:p w14:paraId="3661E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技术合规：软件需通过ISO 26262功能安全认证，开发周期延长至18-24个月。</w:t>
      </w:r>
    </w:p>
    <w:p w14:paraId="369B8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数据合规：碰撞数据需符合GDPR要求，存储成本增加30%-50%。</w:t>
      </w:r>
    </w:p>
    <w:p w14:paraId="22C41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五、市场现状与未来趋势</w:t>
      </w:r>
    </w:p>
    <w:p w14:paraId="1BD52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当前市场状况</w:t>
      </w:r>
    </w:p>
    <w:p w14:paraId="55D8D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规模与增速：2024年全球市场规模3.46亿美元，北美占比38%、欧洲28%、亚太25%。</w:t>
      </w:r>
    </w:p>
    <w:p w14:paraId="2E947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区域分化：北美市场受法规驱动增速稳定（CAGR 6.8%），亚太市场增速超12%（中国、印度贡献主要增量）。</w:t>
      </w:r>
    </w:p>
    <w:p w14:paraId="12EE8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价格波动：高端软件单价超200万美元，中低端软件价格在50万-100万美元区间。</w:t>
      </w:r>
    </w:p>
    <w:p w14:paraId="4FA88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未来趋势分析</w:t>
      </w:r>
    </w:p>
    <w:p w14:paraId="6C42E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技术突破：AI实时仿真技术成熟，2030年将替代传统离线仿真，效率提升10倍。</w:t>
      </w:r>
    </w:p>
    <w:p w14:paraId="4FB3B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市场多元化：东南亚、中东、拉美等新兴市场占比将从2024年的9%提升至2031年的22%。</w:t>
      </w:r>
    </w:p>
    <w:p w14:paraId="74F25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商业模式创新：从“软件销售”转向“订阅制+数据服务”，如ANSYS推出按测试次数计费模式。</w:t>
      </w:r>
    </w:p>
    <w:p w14:paraId="70FC0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六、行业前景与投资机会</w:t>
      </w:r>
    </w:p>
    <w:p w14:paraId="572D4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短期机会（2024-2026）</w:t>
      </w:r>
    </w:p>
    <w:p w14:paraId="44CC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法规驱动需求：关注符合FMVSS 208、GSR II标准的软件开发商（如ANSYS、Dassault Systèmes）。</w:t>
      </w:r>
    </w:p>
    <w:p w14:paraId="57151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本土化替代：投资掌握核心算法（如多体动力学、有限元分析）的中国企业（如安世亚太、霍莱沃）。</w:t>
      </w:r>
    </w:p>
    <w:p w14:paraId="13384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长期机会（2027-2031）</w:t>
      </w:r>
    </w:p>
    <w:p w14:paraId="6A7A2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AI仿真技术量产：布局掌握深度学习框架与物理引擎融合技术的企业（如Altair、ESI Group）。</w:t>
      </w:r>
    </w:p>
    <w:p w14:paraId="53F91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全球化服务网络：关注具备“技术+本地化服务”双壁垒的龙头企业（如Siemens、Dassault Systèmes）。</w:t>
      </w:r>
    </w:p>
    <w:p w14:paraId="17B39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风险提示</w:t>
      </w:r>
    </w:p>
    <w:p w14:paraId="06DC7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技术迭代风险：AI仿真技术若突破成本瓶颈，将颠覆传统仿真软件市场格局。</w:t>
      </w:r>
    </w:p>
    <w:p w14:paraId="5AC67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政策合规风险：欧盟、美国数据安全法规趋严，可能提高市场准入门槛。</w:t>
      </w:r>
    </w:p>
    <w:p w14:paraId="5B46D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七、结论与建议</w:t>
      </w:r>
    </w:p>
    <w:p w14:paraId="7BCCF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汽车碰撞安全仿真软件行业受法规升级、新能源汽车渗透率提升及自动驾驶商业化驱动，未来7年将保持稳健增长。中国企业需通过技术突围、合规升级、全球化服务网络建设三重策略，从“软件供应商”转向“安全解决方案提供商”。建议投资者重点关注AI仿真技术商业化进度及新兴市场渠道布局，把握行业结构性机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2025-2031全球与中国汽车碰撞安全仿真软件市场现状及未来发展趋势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汽车碰撞安全仿真软件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8DD7B83"/>
    <w:rsid w:val="3C4B6CC9"/>
    <w:rsid w:val="4BE4107A"/>
    <w:rsid w:val="58310F7D"/>
    <w:rsid w:val="73E14091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198798/automobile-collision-safety-simulation-softwar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1838</Words>
  <Characters>2352</Characters>
  <Application>Microsoft Office Word</Application>
  <DocSecurity>0</DocSecurity>
  <Lines>0</Lines>
  <Paragraphs>0</Paragraphs>
  <ScaleCrop>false</ScaleCrop>
  <Company/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2025-06-27T08:03:43Z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