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F298D">
      <w:pPr>
        <w:jc w:val="center"/>
        <w:rPr>
          <w:rFonts w:hint="eastAsia" w:asciiTheme="minorHAnsi" w:hAnsiTheme="minorHAnsi" w:eastAsiaTheme="minorEastAsia" w:cstheme="minorBidi"/>
          <w:kern w:val="0"/>
          <w:sz w:val="28"/>
          <w:szCs w:val="28"/>
          <w:lang w:val="en-US" w:eastAsia="zh-CN" w:bidi="ar"/>
        </w:rPr>
      </w:pPr>
      <w:bookmarkStart w:id="0" w:name="_GoBack"/>
      <w:r>
        <w:rPr>
          <w:rFonts w:hint="eastAsia" w:asciiTheme="minorHAnsi" w:hAnsiTheme="minorHAnsi" w:eastAsiaTheme="minorEastAsia" w:cstheme="minorBidi"/>
          <w:kern w:val="0"/>
          <w:sz w:val="28"/>
          <w:szCs w:val="28"/>
          <w:lang w:val="en-US" w:eastAsia="zh-CN" w:bidi="ar"/>
        </w:rPr>
        <w:t>全球计算机视觉市场分析报告：现状、挑战与对策</w:t>
      </w:r>
    </w:p>
    <w:bookmarkEnd w:id="0"/>
    <w:p w14:paraId="67CDAA77">
      <w:pPr>
        <w:pStyle w:val="2"/>
        <w:keepNext w:val="0"/>
        <w:keepLines w:val="0"/>
        <w:widowControl/>
        <w:suppressLineNumbers w:val="0"/>
      </w:pPr>
      <w:r>
        <w:t>全球计算机视觉市场呈现出高速增长的态势，市场规模持续扩大，竞争格局多元化，既有国际科技巨头的布局，也有众多创新型企业的崛起。中国计算机视觉市场同样发展迅猛，“四小龙” 等企业在市场中占据重要地位，同时传统安防企业也积极转型，加大在计算机视觉领域的投入。未来，计算机视觉技术将朝着 3D 计算机视觉、边缘计算与计算机视觉融合等方向创新发展，应用领域也将不断拓展到智能家居、农业、教育等新兴领域，产业协同与生态建设将更加紧密。</w:t>
      </w:r>
    </w:p>
    <w:p w14:paraId="76967B49">
      <w:pPr>
        <w:pStyle w:val="2"/>
        <w:keepNext w:val="0"/>
        <w:keepLines w:val="0"/>
        <w:widowControl/>
        <w:suppressLineNumbers w:val="0"/>
      </w:pPr>
      <w:r>
        <w:rPr>
          <w:rStyle w:val="5"/>
        </w:rPr>
        <w:t>一、计算机视觉市场发展现状与趋势​</w:t>
      </w:r>
    </w:p>
    <w:p w14:paraId="09D4EE40">
      <w:pPr>
        <w:pStyle w:val="2"/>
        <w:keepNext w:val="0"/>
        <w:keepLines w:val="0"/>
        <w:widowControl/>
        <w:suppressLineNumbers w:val="0"/>
      </w:pPr>
      <w:r>
        <w:rPr>
          <w:rStyle w:val="5"/>
        </w:rPr>
        <w:t>1、市场规模与增长态势​</w:t>
      </w:r>
    </w:p>
    <w:p w14:paraId="75313233">
      <w:pPr>
        <w:pStyle w:val="2"/>
        <w:keepNext w:val="0"/>
        <w:keepLines w:val="0"/>
        <w:widowControl/>
        <w:suppressLineNumbers w:val="0"/>
      </w:pPr>
      <w:r>
        <w:t>近年来，全球计算机视觉市场呈现出迅猛的增长态势。</w:t>
      </w:r>
      <w:r>
        <w:rPr>
          <w:rStyle w:val="5"/>
        </w:rPr>
        <w:t>根据</w:t>
      </w:r>
      <w:r>
        <w:rPr>
          <w:rStyle w:val="5"/>
        </w:rPr>
        <w:fldChar w:fldCharType="begin"/>
      </w:r>
      <w:r>
        <w:rPr>
          <w:rStyle w:val="5"/>
        </w:rPr>
        <w:instrText xml:space="preserve"> HYPERLINK "https://www.yjbzr.com/market" \o "市场研究" \t "_blank" </w:instrText>
      </w:r>
      <w:r>
        <w:rPr>
          <w:rStyle w:val="5"/>
        </w:rPr>
        <w:fldChar w:fldCharType="separate"/>
      </w:r>
      <w:r>
        <w:rPr>
          <w:rStyle w:val="6"/>
        </w:rPr>
        <w:t>市场研究</w:t>
      </w:r>
      <w:r>
        <w:rPr>
          <w:rStyle w:val="5"/>
        </w:rPr>
        <w:fldChar w:fldCharType="end"/>
      </w:r>
      <w:r>
        <w:rPr>
          <w:rStyle w:val="5"/>
        </w:rPr>
        <w:t>机构北京研精毕智信息咨询发布的权威数据，</w:t>
      </w:r>
      <w:r>
        <w:t>2018-2023 年期间，全球计算机视觉市场规模从约 100 亿美元攀升至 500 亿美元以上，年复合增长率超过 30%。这一增长趋势得益于深度学习等核心技术的突破，使得计算机视觉在准确性和泛化能力上取得显著进步，从而在安防、自动驾驶、医疗、工业制造等多个领域得到广泛应用。在安防领域，计算机视觉技术助力智能监控系统实现更精准的目标识别与行为分析，提高安防效率和安全性，推动了市场对相关产品和服务的需求增长。​</w:t>
      </w:r>
    </w:p>
    <w:p w14:paraId="77671580">
      <w:pPr>
        <w:pStyle w:val="2"/>
        <w:keepNext w:val="0"/>
        <w:keepLines w:val="0"/>
        <w:widowControl/>
        <w:suppressLineNumbers w:val="0"/>
      </w:pPr>
      <w:r>
        <w:t>中国作为全球重要的科技市场，计算机视觉行业也展现出强劲的发展势头。2018 - 2023 年，中国计算机视觉市场规模从约 80 亿元人民币快速增长至 350 亿元人民币以上，年复合增长率接近 35%。中国庞大的人口基数、快速的城市化进程以及政府对科技创新的大力支持，为计算机视觉技术的应用提供了广阔的市场空间。在智慧城市建设中，计算机视觉技术被广泛应用于交通管理、公共安全等领域，有效提升了城市治理的智能化水平。随着 5G、物联网等新兴技术的发展，计算机视觉与这些技术的融合应用进一步拓展了市场需求，推动了市场规模的持续增长。​</w:t>
      </w:r>
    </w:p>
    <w:p w14:paraId="079985AC">
      <w:pPr>
        <w:pStyle w:val="2"/>
        <w:keepNext w:val="0"/>
        <w:keepLines w:val="0"/>
        <w:widowControl/>
        <w:suppressLineNumbers w:val="0"/>
        <w:rPr>
          <w:rFonts w:hint="eastAsia" w:eastAsiaTheme="minorEastAsia"/>
          <w:lang w:eastAsia="zh-CN"/>
        </w:rPr>
      </w:pPr>
      <w:r>
        <w:t>图 1：2018-2023 年全球计算机视觉市场规模​</w:t>
      </w:r>
      <w:r>
        <w:rPr>
          <w:rFonts w:hint="eastAsia" w:eastAsiaTheme="minorEastAsia"/>
          <w:lang w:eastAsia="zh-CN"/>
        </w:rPr>
        <w:drawing>
          <wp:inline distT="0" distB="0" distL="114300" distR="114300">
            <wp:extent cx="5267325" cy="2971800"/>
            <wp:effectExtent l="0" t="0" r="9525" b="0"/>
            <wp:docPr id="4" name="图片 4"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1"/>
                    <pic:cNvPicPr>
                      <a:picLocks noChangeAspect="1"/>
                    </pic:cNvPicPr>
                  </pic:nvPicPr>
                  <pic:blipFill>
                    <a:blip r:embed="rId4"/>
                    <a:stretch>
                      <a:fillRect/>
                    </a:stretch>
                  </pic:blipFill>
                  <pic:spPr>
                    <a:xfrm>
                      <a:off x="0" y="0"/>
                      <a:ext cx="5267325" cy="2971800"/>
                    </a:xfrm>
                    <a:prstGeom prst="rect">
                      <a:avLst/>
                    </a:prstGeom>
                  </pic:spPr>
                </pic:pic>
              </a:graphicData>
            </a:graphic>
          </wp:inline>
        </w:drawing>
      </w:r>
    </w:p>
    <w:p w14:paraId="2B6805C4">
      <w:pPr>
        <w:pStyle w:val="2"/>
        <w:keepNext w:val="0"/>
        <w:keepLines w:val="0"/>
        <w:widowControl/>
        <w:suppressLineNumbers w:val="0"/>
      </w:pPr>
      <w:r>
        <w:t>图 2：2018-2023 年中国计算机视觉市场规模​</w:t>
      </w:r>
    </w:p>
    <w:p w14:paraId="4FE96EB4">
      <w:pPr>
        <w:pStyle w:val="2"/>
        <w:keepNext w:val="0"/>
        <w:keepLines w:val="0"/>
        <w:widowControl/>
        <w:suppressLineNumbers w:val="0"/>
        <w:jc w:val="center"/>
        <w:rPr>
          <w:rFonts w:hint="eastAsia" w:eastAsiaTheme="minorEastAsia"/>
          <w:lang w:eastAsia="zh-CN"/>
        </w:rPr>
      </w:pPr>
      <w:r>
        <w:rPr>
          <w:rFonts w:hint="eastAsia" w:eastAsiaTheme="minorEastAsia"/>
          <w:lang w:eastAsia="zh-CN"/>
        </w:rPr>
        <w:drawing>
          <wp:inline distT="0" distB="0" distL="114300" distR="114300">
            <wp:extent cx="5248275" cy="2981325"/>
            <wp:effectExtent l="0" t="0" r="9525" b="9525"/>
            <wp:docPr id="3" name="图片 3"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2"/>
                    <pic:cNvPicPr>
                      <a:picLocks noChangeAspect="1"/>
                    </pic:cNvPicPr>
                  </pic:nvPicPr>
                  <pic:blipFill>
                    <a:blip r:embed="rId5"/>
                    <a:stretch>
                      <a:fillRect/>
                    </a:stretch>
                  </pic:blipFill>
                  <pic:spPr>
                    <a:xfrm>
                      <a:off x="0" y="0"/>
                      <a:ext cx="5248275" cy="2981325"/>
                    </a:xfrm>
                    <a:prstGeom prst="rect">
                      <a:avLst/>
                    </a:prstGeom>
                  </pic:spPr>
                </pic:pic>
              </a:graphicData>
            </a:graphic>
          </wp:inline>
        </w:drawing>
      </w:r>
    </w:p>
    <w:p w14:paraId="6DB1ECF9">
      <w:pPr>
        <w:pStyle w:val="2"/>
        <w:keepNext w:val="0"/>
        <w:keepLines w:val="0"/>
        <w:widowControl/>
        <w:suppressLineNumbers w:val="0"/>
      </w:pPr>
      <w:r>
        <w:t>市场增长的驱动因素主要包括技术创新、应用需求增长和政策支持等方面。深度学习算法的不断优化和创新，使得计算机视觉系统在图像识别、目标检测、语义分割等任务上的性能不断提升，为市场发展提供了强大的技术支撑。随着各行业数字化转型的加速，对智能化解决方案的需求日益增长，计算机视觉技术作为实现智能化的关键手段，在安防、医疗、工业、交通等领域的应用不断深化和拓展，市场需求持续扩大。政府出台的一系列支持人工智能和计算机视觉技术发展的政策，为行业发展营造了良好的政策环境，吸引了大量的资金和人才投入，促进了市场的快速发展。​</w:t>
      </w:r>
    </w:p>
    <w:p w14:paraId="10048714">
      <w:pPr>
        <w:pStyle w:val="2"/>
        <w:keepNext w:val="0"/>
        <w:keepLines w:val="0"/>
        <w:widowControl/>
        <w:suppressLineNumbers w:val="0"/>
      </w:pPr>
      <w:r>
        <w:rPr>
          <w:rStyle w:val="5"/>
        </w:rPr>
        <w:t>2、竞争格局与主要企业​</w:t>
      </w:r>
    </w:p>
    <w:p w14:paraId="279B0AE8">
      <w:pPr>
        <w:pStyle w:val="2"/>
        <w:keepNext w:val="0"/>
        <w:keepLines w:val="0"/>
        <w:widowControl/>
        <w:suppressLineNumbers w:val="0"/>
      </w:pPr>
      <w:r>
        <w:t>在全球计算机视觉市场中，形成了多元化的竞争格局。国际上，科技巨头如谷歌、微软、英伟达等凭借其强大的技术研发实力、丰富的资源和广泛的市场渠道，在计算机视觉领域占据重要地位。谷歌在图像识别、视频分析等领域拥有先进的技术和大量的专利，其研发的深度学习框架 TensorFlow 被广泛应用于计算机视觉研究和开发中；微软的 Azure 认知服务提供了一系列计算机视觉相关的 API，为开发者提供了便捷的视觉处理工具；英伟达凭借其在 GPU 技术上的优势，为计算机视觉任务提供了强大的计算支持，推动了深度学习在计算机视觉领域的应用。​</w:t>
      </w:r>
    </w:p>
    <w:p w14:paraId="7577D0F8">
      <w:pPr>
        <w:pStyle w:val="2"/>
        <w:keepNext w:val="0"/>
        <w:keepLines w:val="0"/>
        <w:widowControl/>
        <w:suppressLineNumbers w:val="0"/>
      </w:pPr>
      <w:r>
        <w:t>同时，也涌现出一批专注于计算机视觉技术的创新型企业，如以色列的 Mobileye 在自动驾驶计算机视觉领域处于领先地位，其研发的视觉系统被广泛应用于汽车辅助驾驶和自动驾驶领域；加拿大的 Visionics 则在人脸识别和安防监控领域具有较强的技术实力和市场份额。这些创新型企业通过专注于特定领域的技术研发和应用，为市场提供了差异化的产品和服务，与科技巨头形成互补和竞争的关系。​</w:t>
      </w:r>
    </w:p>
    <w:p w14:paraId="62706008">
      <w:pPr>
        <w:pStyle w:val="2"/>
        <w:keepNext w:val="0"/>
        <w:keepLines w:val="0"/>
        <w:widowControl/>
        <w:suppressLineNumbers w:val="0"/>
      </w:pPr>
      <w:r>
        <w:t>在中国市场，竞争格局同样激烈。商汤科技、旷视科技、云从科技、依图科技等被称为计算机视觉领域的 “四小龙”，它们在技术研发、产品创新和市场拓展方面表现突出，占据了较大的市场份额。商汤科技以其先进的深度学习算法和广泛的应用场景，在智慧城市、智慧商业、智慧医疗等领域取得了显著的成果；旷视科技在人脸识别、工业视觉等领域具有深厚的技术积累和丰富的应用经验，其产品广泛应用于安防、金融、物流等行业；云从科技专注于人机协同操作系统和人工智能解决方案，在智慧金融、智慧交通等领域有出色的表现；依图科技在医疗影像分析、智能安防等领域展现出强大的技术实力，为行业提供了高质量的产品和服务。​</w:t>
      </w:r>
    </w:p>
    <w:p w14:paraId="0EF63375">
      <w:pPr>
        <w:pStyle w:val="2"/>
        <w:keepNext w:val="0"/>
        <w:keepLines w:val="0"/>
        <w:widowControl/>
        <w:suppressLineNumbers w:val="0"/>
      </w:pPr>
      <w:r>
        <w:t>传统安防企业如海康威视、大华股份等也在计算机视觉领域积极布局，凭借其在安防市场的深厚根基和渠道优势，迅速拓展计算机视觉相关业务。海康威视作为全球领先的安防产品及解决方案提供商，将计算机视觉技术深度融入其安防产品中，实现了视频监控的智能化升级，在智能安防市场占据重要地位；大华股份同样加大在计算机视觉技术研发上的投入，推出了一系列智能安防产品和解决方案，不断提升市场竞争力。​</w:t>
      </w:r>
    </w:p>
    <w:p w14:paraId="610505B2">
      <w:pPr>
        <w:pStyle w:val="2"/>
        <w:keepNext w:val="0"/>
        <w:keepLines w:val="0"/>
        <w:widowControl/>
        <w:suppressLineNumbers w:val="0"/>
      </w:pPr>
      <w:r>
        <w:t>表 1：国内外计算机视觉主要企业及市场份额（部分）​</w:t>
      </w:r>
    </w:p>
    <w:tbl>
      <w:tblPr>
        <w:tblW w:w="3046" w:type="pct"/>
        <w:tblInd w:w="0" w:type="dxa"/>
        <w:tblBorders>
          <w:top w:val="none" w:color="3598DB" w:sz="0" w:space="0"/>
          <w:left w:val="none" w:color="3598DB" w:sz="0" w:space="0"/>
          <w:bottom w:val="none" w:color="3598DB" w:sz="0" w:space="0"/>
          <w:right w:val="none" w:color="3598DB" w:sz="0" w:space="0"/>
          <w:insideH w:val="none" w:color="auto" w:sz="0" w:space="0"/>
          <w:insideV w:val="none" w:color="auto" w:sz="0" w:space="0"/>
        </w:tblBorders>
        <w:shd w:val="clear" w:color="auto" w:fill="C2E0F4"/>
        <w:tblLayout w:type="autofit"/>
        <w:tblCellMar>
          <w:top w:w="15" w:type="dxa"/>
          <w:left w:w="15" w:type="dxa"/>
          <w:bottom w:w="15" w:type="dxa"/>
          <w:right w:w="15" w:type="dxa"/>
        </w:tblCellMar>
      </w:tblPr>
      <w:tblGrid>
        <w:gridCol w:w="667"/>
        <w:gridCol w:w="902"/>
        <w:gridCol w:w="945"/>
        <w:gridCol w:w="838"/>
        <w:gridCol w:w="1726"/>
      </w:tblGrid>
      <w:tr w14:paraId="12D6CA7E">
        <w:tblPrEx>
          <w:tblBorders>
            <w:top w:val="none" w:color="3598DB" w:sz="0" w:space="0"/>
            <w:left w:val="none" w:color="3598DB" w:sz="0" w:space="0"/>
            <w:bottom w:val="none" w:color="3598DB" w:sz="0" w:space="0"/>
            <w:right w:val="none" w:color="3598DB" w:sz="0" w:space="0"/>
            <w:insideH w:val="none" w:color="auto" w:sz="0" w:space="0"/>
            <w:insideV w:val="none" w:color="auto" w:sz="0" w:space="0"/>
          </w:tblBorders>
          <w:shd w:val="clear" w:color="auto" w:fill="C2E0F4"/>
          <w:tblCellMar>
            <w:top w:w="15" w:type="dxa"/>
            <w:left w:w="15" w:type="dxa"/>
            <w:bottom w:w="15" w:type="dxa"/>
            <w:right w:w="15" w:type="dxa"/>
          </w:tblCellMar>
        </w:tblPrEx>
        <w:tc>
          <w:tcPr>
            <w:tcW w:w="656" w:type="pct"/>
            <w:shd w:val="clear" w:color="auto" w:fill="C2E0F4"/>
            <w:vAlign w:val="center"/>
          </w:tcPr>
          <w:p w14:paraId="590D5BE4">
            <w:pPr>
              <w:pStyle w:val="2"/>
              <w:keepNext w:val="0"/>
              <w:keepLines w:val="0"/>
              <w:widowControl/>
              <w:suppressLineNumbers w:val="0"/>
            </w:pPr>
            <w:r>
              <w:rPr>
                <w:rStyle w:val="5"/>
              </w:rPr>
              <w:t>企业名称​</w:t>
            </w:r>
          </w:p>
        </w:tc>
        <w:tc>
          <w:tcPr>
            <w:tcW w:w="886" w:type="pct"/>
            <w:shd w:val="clear" w:color="auto" w:fill="C2E0F4"/>
            <w:vAlign w:val="center"/>
          </w:tcPr>
          <w:p w14:paraId="179C6D04">
            <w:pPr>
              <w:pStyle w:val="2"/>
              <w:keepNext w:val="0"/>
              <w:keepLines w:val="0"/>
              <w:widowControl/>
              <w:suppressLineNumbers w:val="0"/>
            </w:pPr>
            <w:r>
              <w:rPr>
                <w:rStyle w:val="5"/>
              </w:rPr>
              <w:t>国家 / 地区​</w:t>
            </w:r>
          </w:p>
        </w:tc>
        <w:tc>
          <w:tcPr>
            <w:tcW w:w="928" w:type="pct"/>
            <w:shd w:val="clear" w:color="auto" w:fill="C2E0F4"/>
            <w:vAlign w:val="center"/>
          </w:tcPr>
          <w:p w14:paraId="114C74B1">
            <w:pPr>
              <w:pStyle w:val="2"/>
              <w:keepNext w:val="0"/>
              <w:keepLines w:val="0"/>
              <w:widowControl/>
              <w:suppressLineNumbers w:val="0"/>
            </w:pPr>
            <w:r>
              <w:rPr>
                <w:rStyle w:val="5"/>
              </w:rPr>
              <w:t>市场份额（约）​</w:t>
            </w:r>
          </w:p>
        </w:tc>
        <w:tc>
          <w:tcPr>
            <w:tcW w:w="823" w:type="pct"/>
            <w:shd w:val="clear" w:color="auto" w:fill="C2E0F4"/>
            <w:vAlign w:val="center"/>
          </w:tcPr>
          <w:p w14:paraId="539967A4">
            <w:pPr>
              <w:pStyle w:val="2"/>
              <w:keepNext w:val="0"/>
              <w:keepLines w:val="0"/>
              <w:widowControl/>
              <w:suppressLineNumbers w:val="0"/>
            </w:pPr>
            <w:r>
              <w:rPr>
                <w:rStyle w:val="5"/>
              </w:rPr>
              <w:t>技术优势​</w:t>
            </w:r>
          </w:p>
        </w:tc>
        <w:tc>
          <w:tcPr>
            <w:tcW w:w="1696" w:type="pct"/>
            <w:shd w:val="clear" w:color="auto" w:fill="C2E0F4"/>
            <w:vAlign w:val="center"/>
          </w:tcPr>
          <w:p w14:paraId="29AC1237">
            <w:pPr>
              <w:pStyle w:val="2"/>
              <w:keepNext w:val="0"/>
              <w:keepLines w:val="0"/>
              <w:widowControl/>
              <w:suppressLineNumbers w:val="0"/>
            </w:pPr>
            <w:r>
              <w:rPr>
                <w:rStyle w:val="5"/>
              </w:rPr>
              <w:t>竞争策略​</w:t>
            </w:r>
          </w:p>
        </w:tc>
      </w:tr>
      <w:tr w14:paraId="08D450CA">
        <w:tblPrEx>
          <w:tblBorders>
            <w:top w:val="none" w:color="3598DB" w:sz="0" w:space="0"/>
            <w:left w:val="none" w:color="3598DB" w:sz="0" w:space="0"/>
            <w:bottom w:val="none" w:color="3598DB" w:sz="0" w:space="0"/>
            <w:right w:val="none" w:color="3598DB" w:sz="0" w:space="0"/>
            <w:insideH w:val="none" w:color="auto" w:sz="0" w:space="0"/>
            <w:insideV w:val="none" w:color="auto" w:sz="0" w:space="0"/>
          </w:tblBorders>
          <w:tblCellMar>
            <w:top w:w="15" w:type="dxa"/>
            <w:left w:w="15" w:type="dxa"/>
            <w:bottom w:w="15" w:type="dxa"/>
            <w:right w:w="15" w:type="dxa"/>
          </w:tblCellMar>
        </w:tblPrEx>
        <w:tc>
          <w:tcPr>
            <w:tcW w:w="656" w:type="pct"/>
            <w:shd w:val="clear" w:color="auto" w:fill="C2E0F4"/>
            <w:vAlign w:val="center"/>
          </w:tcPr>
          <w:p w14:paraId="257ECB90">
            <w:pPr>
              <w:pStyle w:val="2"/>
              <w:keepNext w:val="0"/>
              <w:keepLines w:val="0"/>
              <w:widowControl/>
              <w:suppressLineNumbers w:val="0"/>
            </w:pPr>
            <w:r>
              <w:t>谷歌​</w:t>
            </w:r>
          </w:p>
        </w:tc>
        <w:tc>
          <w:tcPr>
            <w:tcW w:w="886" w:type="pct"/>
            <w:shd w:val="clear" w:color="auto" w:fill="C2E0F4"/>
            <w:vAlign w:val="center"/>
          </w:tcPr>
          <w:p w14:paraId="23F53CC8">
            <w:pPr>
              <w:pStyle w:val="2"/>
              <w:keepNext w:val="0"/>
              <w:keepLines w:val="0"/>
              <w:widowControl/>
              <w:suppressLineNumbers w:val="0"/>
            </w:pPr>
            <w:r>
              <w:t>美国​</w:t>
            </w:r>
          </w:p>
        </w:tc>
        <w:tc>
          <w:tcPr>
            <w:tcW w:w="928" w:type="pct"/>
            <w:shd w:val="clear" w:color="auto" w:fill="C2E0F4"/>
            <w:vAlign w:val="center"/>
          </w:tcPr>
          <w:p w14:paraId="51C65F00">
            <w:pPr>
              <w:pStyle w:val="2"/>
              <w:keepNext w:val="0"/>
              <w:keepLines w:val="0"/>
              <w:widowControl/>
              <w:suppressLineNumbers w:val="0"/>
            </w:pPr>
            <w:r>
              <w:t>10% - 15%​</w:t>
            </w:r>
          </w:p>
        </w:tc>
        <w:tc>
          <w:tcPr>
            <w:tcW w:w="823" w:type="pct"/>
            <w:shd w:val="clear" w:color="auto" w:fill="C2E0F4"/>
            <w:vAlign w:val="center"/>
          </w:tcPr>
          <w:p w14:paraId="46763B5F">
            <w:pPr>
              <w:pStyle w:val="2"/>
              <w:keepNext w:val="0"/>
              <w:keepLines w:val="0"/>
              <w:widowControl/>
              <w:suppressLineNumbers w:val="0"/>
            </w:pPr>
            <w:r>
              <w:t>先进的深度学习算法、大量的图像数据和计算资源​</w:t>
            </w:r>
          </w:p>
        </w:tc>
        <w:tc>
          <w:tcPr>
            <w:tcW w:w="1696" w:type="pct"/>
            <w:shd w:val="clear" w:color="auto" w:fill="C2E0F4"/>
            <w:vAlign w:val="center"/>
          </w:tcPr>
          <w:p w14:paraId="17CAF871">
            <w:pPr>
              <w:pStyle w:val="2"/>
              <w:keepNext w:val="0"/>
              <w:keepLines w:val="0"/>
              <w:widowControl/>
              <w:suppressLineNumbers w:val="0"/>
            </w:pPr>
            <w:r>
              <w:t>技术创新驱动，拓展多领域应用，通过开源技术吸引开发者​</w:t>
            </w:r>
          </w:p>
        </w:tc>
      </w:tr>
      <w:tr w14:paraId="0588C7F7">
        <w:tblPrEx>
          <w:tblBorders>
            <w:top w:val="none" w:color="3598DB" w:sz="0" w:space="0"/>
            <w:left w:val="none" w:color="3598DB" w:sz="0" w:space="0"/>
            <w:bottom w:val="none" w:color="3598DB" w:sz="0" w:space="0"/>
            <w:right w:val="none" w:color="3598DB" w:sz="0" w:space="0"/>
            <w:insideH w:val="none" w:color="auto" w:sz="0" w:space="0"/>
            <w:insideV w:val="none" w:color="auto" w:sz="0" w:space="0"/>
          </w:tblBorders>
          <w:tblCellMar>
            <w:top w:w="15" w:type="dxa"/>
            <w:left w:w="15" w:type="dxa"/>
            <w:bottom w:w="15" w:type="dxa"/>
            <w:right w:w="15" w:type="dxa"/>
          </w:tblCellMar>
        </w:tblPrEx>
        <w:tc>
          <w:tcPr>
            <w:tcW w:w="656" w:type="pct"/>
            <w:shd w:val="clear" w:color="auto" w:fill="C2E0F4"/>
            <w:vAlign w:val="center"/>
          </w:tcPr>
          <w:p w14:paraId="719FCC61">
            <w:pPr>
              <w:pStyle w:val="2"/>
              <w:keepNext w:val="0"/>
              <w:keepLines w:val="0"/>
              <w:widowControl/>
              <w:suppressLineNumbers w:val="0"/>
            </w:pPr>
            <w:r>
              <w:t>微软​</w:t>
            </w:r>
          </w:p>
        </w:tc>
        <w:tc>
          <w:tcPr>
            <w:tcW w:w="886" w:type="pct"/>
            <w:shd w:val="clear" w:color="auto" w:fill="C2E0F4"/>
            <w:vAlign w:val="center"/>
          </w:tcPr>
          <w:p w14:paraId="1FA217DB">
            <w:pPr>
              <w:pStyle w:val="2"/>
              <w:keepNext w:val="0"/>
              <w:keepLines w:val="0"/>
              <w:widowControl/>
              <w:suppressLineNumbers w:val="0"/>
            </w:pPr>
            <w:r>
              <w:t>美国​</w:t>
            </w:r>
          </w:p>
        </w:tc>
        <w:tc>
          <w:tcPr>
            <w:tcW w:w="928" w:type="pct"/>
            <w:shd w:val="clear" w:color="auto" w:fill="C2E0F4"/>
            <w:vAlign w:val="center"/>
          </w:tcPr>
          <w:p w14:paraId="633B161D">
            <w:pPr>
              <w:pStyle w:val="2"/>
              <w:keepNext w:val="0"/>
              <w:keepLines w:val="0"/>
              <w:widowControl/>
              <w:suppressLineNumbers w:val="0"/>
            </w:pPr>
            <w:r>
              <w:t>8% - 12%​</w:t>
            </w:r>
          </w:p>
        </w:tc>
        <w:tc>
          <w:tcPr>
            <w:tcW w:w="823" w:type="pct"/>
            <w:shd w:val="clear" w:color="auto" w:fill="C2E0F4"/>
            <w:vAlign w:val="center"/>
          </w:tcPr>
          <w:p w14:paraId="32E27E0E">
            <w:pPr>
              <w:pStyle w:val="2"/>
              <w:keepNext w:val="0"/>
              <w:keepLines w:val="0"/>
              <w:widowControl/>
              <w:suppressLineNumbers w:val="0"/>
            </w:pPr>
            <w:r>
              <w:t>全面的计算机视觉 API 和云服务​</w:t>
            </w:r>
          </w:p>
        </w:tc>
        <w:tc>
          <w:tcPr>
            <w:tcW w:w="1696" w:type="pct"/>
            <w:shd w:val="clear" w:color="auto" w:fill="C2E0F4"/>
            <w:vAlign w:val="center"/>
          </w:tcPr>
          <w:p w14:paraId="3969ADB5">
            <w:pPr>
              <w:pStyle w:val="2"/>
              <w:keepNext w:val="0"/>
              <w:keepLines w:val="0"/>
              <w:widowControl/>
              <w:suppressLineNumbers w:val="0"/>
            </w:pPr>
            <w:r>
              <w:t>与自身云服务和软件生态结合，提供一站式解决方案，注重企业级市场​</w:t>
            </w:r>
          </w:p>
        </w:tc>
      </w:tr>
      <w:tr w14:paraId="483F1120">
        <w:tblPrEx>
          <w:tblBorders>
            <w:top w:val="none" w:color="3598DB" w:sz="0" w:space="0"/>
            <w:left w:val="none" w:color="3598DB" w:sz="0" w:space="0"/>
            <w:bottom w:val="none" w:color="3598DB" w:sz="0" w:space="0"/>
            <w:right w:val="none" w:color="3598DB" w:sz="0" w:space="0"/>
            <w:insideH w:val="none" w:color="auto" w:sz="0" w:space="0"/>
            <w:insideV w:val="none" w:color="auto" w:sz="0" w:space="0"/>
          </w:tblBorders>
          <w:shd w:val="clear" w:color="auto" w:fill="C2E0F4"/>
          <w:tblCellMar>
            <w:top w:w="15" w:type="dxa"/>
            <w:left w:w="15" w:type="dxa"/>
            <w:bottom w:w="15" w:type="dxa"/>
            <w:right w:w="15" w:type="dxa"/>
          </w:tblCellMar>
        </w:tblPrEx>
        <w:tc>
          <w:tcPr>
            <w:tcW w:w="656" w:type="pct"/>
            <w:shd w:val="clear" w:color="auto" w:fill="C2E0F4"/>
            <w:vAlign w:val="center"/>
          </w:tcPr>
          <w:p w14:paraId="02599A19">
            <w:pPr>
              <w:pStyle w:val="2"/>
              <w:keepNext w:val="0"/>
              <w:keepLines w:val="0"/>
              <w:widowControl/>
              <w:suppressLineNumbers w:val="0"/>
            </w:pPr>
            <w:r>
              <w:t>英伟达​</w:t>
            </w:r>
          </w:p>
        </w:tc>
        <w:tc>
          <w:tcPr>
            <w:tcW w:w="886" w:type="pct"/>
            <w:shd w:val="clear" w:color="auto" w:fill="C2E0F4"/>
            <w:vAlign w:val="center"/>
          </w:tcPr>
          <w:p w14:paraId="0ABDB0ED">
            <w:pPr>
              <w:pStyle w:val="2"/>
              <w:keepNext w:val="0"/>
              <w:keepLines w:val="0"/>
              <w:widowControl/>
              <w:suppressLineNumbers w:val="0"/>
            </w:pPr>
            <w:r>
              <w:t>美国​</w:t>
            </w:r>
          </w:p>
        </w:tc>
        <w:tc>
          <w:tcPr>
            <w:tcW w:w="928" w:type="pct"/>
            <w:shd w:val="clear" w:color="auto" w:fill="C2E0F4"/>
            <w:vAlign w:val="center"/>
          </w:tcPr>
          <w:p w14:paraId="23BB3340">
            <w:pPr>
              <w:pStyle w:val="2"/>
              <w:keepNext w:val="0"/>
              <w:keepLines w:val="0"/>
              <w:widowControl/>
              <w:suppressLineNumbers w:val="0"/>
            </w:pPr>
            <w:r>
              <w:t>5% - 8%​</w:t>
            </w:r>
          </w:p>
        </w:tc>
        <w:tc>
          <w:tcPr>
            <w:tcW w:w="823" w:type="pct"/>
            <w:shd w:val="clear" w:color="auto" w:fill="C2E0F4"/>
            <w:vAlign w:val="center"/>
          </w:tcPr>
          <w:p w14:paraId="7BD15BF6">
            <w:pPr>
              <w:pStyle w:val="2"/>
              <w:keepNext w:val="0"/>
              <w:keepLines w:val="0"/>
              <w:widowControl/>
              <w:suppressLineNumbers w:val="0"/>
            </w:pPr>
            <w:r>
              <w:t>强大的 GPU 计算能力和深度学习框架​</w:t>
            </w:r>
          </w:p>
        </w:tc>
        <w:tc>
          <w:tcPr>
            <w:tcW w:w="1696" w:type="pct"/>
            <w:shd w:val="clear" w:color="auto" w:fill="C2E0F4"/>
            <w:vAlign w:val="center"/>
          </w:tcPr>
          <w:p w14:paraId="3A739331">
            <w:pPr>
              <w:pStyle w:val="2"/>
              <w:keepNext w:val="0"/>
              <w:keepLines w:val="0"/>
              <w:widowControl/>
              <w:suppressLineNumbers w:val="0"/>
            </w:pPr>
            <w:r>
              <w:t>专注于提供硬件支持和底层技术，与众多企业合作推动计算机视觉应用​</w:t>
            </w:r>
          </w:p>
        </w:tc>
      </w:tr>
      <w:tr w14:paraId="7B6ADEAE">
        <w:tblPrEx>
          <w:tblBorders>
            <w:top w:val="none" w:color="3598DB" w:sz="0" w:space="0"/>
            <w:left w:val="none" w:color="3598DB" w:sz="0" w:space="0"/>
            <w:bottom w:val="none" w:color="3598DB" w:sz="0" w:space="0"/>
            <w:right w:val="none" w:color="3598DB" w:sz="0" w:space="0"/>
            <w:insideH w:val="none" w:color="auto" w:sz="0" w:space="0"/>
            <w:insideV w:val="none" w:color="auto" w:sz="0" w:space="0"/>
          </w:tblBorders>
          <w:shd w:val="clear" w:color="auto" w:fill="C2E0F4"/>
          <w:tblCellMar>
            <w:top w:w="15" w:type="dxa"/>
            <w:left w:w="15" w:type="dxa"/>
            <w:bottom w:w="15" w:type="dxa"/>
            <w:right w:w="15" w:type="dxa"/>
          </w:tblCellMar>
        </w:tblPrEx>
        <w:tc>
          <w:tcPr>
            <w:tcW w:w="656" w:type="pct"/>
            <w:shd w:val="clear" w:color="auto" w:fill="C2E0F4"/>
            <w:vAlign w:val="center"/>
          </w:tcPr>
          <w:p w14:paraId="51670D9E">
            <w:pPr>
              <w:pStyle w:val="2"/>
              <w:keepNext w:val="0"/>
              <w:keepLines w:val="0"/>
              <w:widowControl/>
              <w:suppressLineNumbers w:val="0"/>
            </w:pPr>
            <w:r>
              <w:t>商汤科技​</w:t>
            </w:r>
          </w:p>
        </w:tc>
        <w:tc>
          <w:tcPr>
            <w:tcW w:w="886" w:type="pct"/>
            <w:shd w:val="clear" w:color="auto" w:fill="C2E0F4"/>
            <w:vAlign w:val="center"/>
          </w:tcPr>
          <w:p w14:paraId="39E4D11F">
            <w:pPr>
              <w:pStyle w:val="2"/>
              <w:keepNext w:val="0"/>
              <w:keepLines w:val="0"/>
              <w:widowControl/>
              <w:suppressLineNumbers w:val="0"/>
            </w:pPr>
            <w:r>
              <w:t>中国​</w:t>
            </w:r>
          </w:p>
        </w:tc>
        <w:tc>
          <w:tcPr>
            <w:tcW w:w="928" w:type="pct"/>
            <w:shd w:val="clear" w:color="auto" w:fill="C2E0F4"/>
            <w:vAlign w:val="center"/>
          </w:tcPr>
          <w:p w14:paraId="3B58C5C1">
            <w:pPr>
              <w:pStyle w:val="2"/>
              <w:keepNext w:val="0"/>
              <w:keepLines w:val="0"/>
              <w:widowControl/>
              <w:suppressLineNumbers w:val="0"/>
            </w:pPr>
            <w:r>
              <w:t>15% - 20%​</w:t>
            </w:r>
          </w:p>
        </w:tc>
        <w:tc>
          <w:tcPr>
            <w:tcW w:w="823" w:type="pct"/>
            <w:shd w:val="clear" w:color="auto" w:fill="C2E0F4"/>
            <w:vAlign w:val="center"/>
          </w:tcPr>
          <w:p w14:paraId="3C561805">
            <w:pPr>
              <w:pStyle w:val="2"/>
              <w:keepNext w:val="0"/>
              <w:keepLines w:val="0"/>
              <w:widowControl/>
              <w:suppressLineNumbers w:val="0"/>
            </w:pPr>
            <w:r>
              <w:t>先进的深度学习算法、丰富的行业应用经验​</w:t>
            </w:r>
          </w:p>
        </w:tc>
        <w:tc>
          <w:tcPr>
            <w:tcW w:w="1696" w:type="pct"/>
            <w:shd w:val="clear" w:color="auto" w:fill="C2E0F4"/>
            <w:vAlign w:val="center"/>
          </w:tcPr>
          <w:p w14:paraId="31EEE748">
            <w:pPr>
              <w:pStyle w:val="2"/>
              <w:keepNext w:val="0"/>
              <w:keepLines w:val="0"/>
              <w:widowControl/>
              <w:suppressLineNumbers w:val="0"/>
            </w:pPr>
            <w:r>
              <w:t>技术研发与场景落地并重，与政府、企业广泛合作，拓展全球市场​</w:t>
            </w:r>
          </w:p>
        </w:tc>
      </w:tr>
      <w:tr w14:paraId="7A4CCEEA">
        <w:tblPrEx>
          <w:tblBorders>
            <w:top w:val="none" w:color="3598DB" w:sz="0" w:space="0"/>
            <w:left w:val="none" w:color="3598DB" w:sz="0" w:space="0"/>
            <w:bottom w:val="none" w:color="3598DB" w:sz="0" w:space="0"/>
            <w:right w:val="none" w:color="3598DB" w:sz="0" w:space="0"/>
            <w:insideH w:val="none" w:color="auto" w:sz="0" w:space="0"/>
            <w:insideV w:val="none" w:color="auto" w:sz="0" w:space="0"/>
          </w:tblBorders>
          <w:tblCellMar>
            <w:top w:w="15" w:type="dxa"/>
            <w:left w:w="15" w:type="dxa"/>
            <w:bottom w:w="15" w:type="dxa"/>
            <w:right w:w="15" w:type="dxa"/>
          </w:tblCellMar>
        </w:tblPrEx>
        <w:tc>
          <w:tcPr>
            <w:tcW w:w="656" w:type="pct"/>
            <w:shd w:val="clear" w:color="auto" w:fill="C2E0F4"/>
            <w:vAlign w:val="center"/>
          </w:tcPr>
          <w:p w14:paraId="61CCCA9C">
            <w:pPr>
              <w:pStyle w:val="2"/>
              <w:keepNext w:val="0"/>
              <w:keepLines w:val="0"/>
              <w:widowControl/>
              <w:suppressLineNumbers w:val="0"/>
            </w:pPr>
            <w:r>
              <w:t>旷视科技​</w:t>
            </w:r>
          </w:p>
        </w:tc>
        <w:tc>
          <w:tcPr>
            <w:tcW w:w="886" w:type="pct"/>
            <w:shd w:val="clear" w:color="auto" w:fill="C2E0F4"/>
            <w:vAlign w:val="center"/>
          </w:tcPr>
          <w:p w14:paraId="36BD3756">
            <w:pPr>
              <w:pStyle w:val="2"/>
              <w:keepNext w:val="0"/>
              <w:keepLines w:val="0"/>
              <w:widowControl/>
              <w:suppressLineNumbers w:val="0"/>
            </w:pPr>
            <w:r>
              <w:t>中国​</w:t>
            </w:r>
          </w:p>
        </w:tc>
        <w:tc>
          <w:tcPr>
            <w:tcW w:w="928" w:type="pct"/>
            <w:shd w:val="clear" w:color="auto" w:fill="C2E0F4"/>
            <w:vAlign w:val="center"/>
          </w:tcPr>
          <w:p w14:paraId="0074926E">
            <w:pPr>
              <w:pStyle w:val="2"/>
              <w:keepNext w:val="0"/>
              <w:keepLines w:val="0"/>
              <w:widowControl/>
              <w:suppressLineNumbers w:val="0"/>
            </w:pPr>
            <w:r>
              <w:t>10% - 15%​</w:t>
            </w:r>
          </w:p>
        </w:tc>
        <w:tc>
          <w:tcPr>
            <w:tcW w:w="823" w:type="pct"/>
            <w:shd w:val="clear" w:color="auto" w:fill="C2E0F4"/>
            <w:vAlign w:val="center"/>
          </w:tcPr>
          <w:p w14:paraId="326F3FB5">
            <w:pPr>
              <w:pStyle w:val="2"/>
              <w:keepNext w:val="0"/>
              <w:keepLines w:val="0"/>
              <w:widowControl/>
              <w:suppressLineNumbers w:val="0"/>
            </w:pPr>
            <w:r>
              <w:t>领先的人脸识别技术、工业视觉技术​</w:t>
            </w:r>
          </w:p>
        </w:tc>
        <w:tc>
          <w:tcPr>
            <w:tcW w:w="1696" w:type="pct"/>
            <w:shd w:val="clear" w:color="auto" w:fill="C2E0F4"/>
            <w:vAlign w:val="center"/>
          </w:tcPr>
          <w:p w14:paraId="1EF1DF8D">
            <w:pPr>
              <w:pStyle w:val="2"/>
              <w:keepNext w:val="0"/>
              <w:keepLines w:val="0"/>
              <w:widowControl/>
              <w:suppressLineNumbers w:val="0"/>
            </w:pPr>
            <w:r>
              <w:t>聚焦核心技术研发，打造行业解决方案，加强与行业头部企业合作​</w:t>
            </w:r>
          </w:p>
        </w:tc>
      </w:tr>
      <w:tr w14:paraId="29E0FD60">
        <w:tblPrEx>
          <w:tblBorders>
            <w:top w:val="none" w:color="3598DB" w:sz="0" w:space="0"/>
            <w:left w:val="none" w:color="3598DB" w:sz="0" w:space="0"/>
            <w:bottom w:val="none" w:color="3598DB" w:sz="0" w:space="0"/>
            <w:right w:val="none" w:color="3598DB" w:sz="0" w:space="0"/>
            <w:insideH w:val="none" w:color="auto" w:sz="0" w:space="0"/>
            <w:insideV w:val="none" w:color="auto" w:sz="0" w:space="0"/>
          </w:tblBorders>
          <w:tblCellMar>
            <w:top w:w="15" w:type="dxa"/>
            <w:left w:w="15" w:type="dxa"/>
            <w:bottom w:w="15" w:type="dxa"/>
            <w:right w:w="15" w:type="dxa"/>
          </w:tblCellMar>
        </w:tblPrEx>
        <w:tc>
          <w:tcPr>
            <w:tcW w:w="656" w:type="pct"/>
            <w:shd w:val="clear" w:color="auto" w:fill="C2E0F4"/>
            <w:vAlign w:val="center"/>
          </w:tcPr>
          <w:p w14:paraId="4C9C0EFA">
            <w:pPr>
              <w:pStyle w:val="2"/>
              <w:keepNext w:val="0"/>
              <w:keepLines w:val="0"/>
              <w:widowControl/>
              <w:suppressLineNumbers w:val="0"/>
            </w:pPr>
            <w:r>
              <w:t>海康威视​</w:t>
            </w:r>
          </w:p>
        </w:tc>
        <w:tc>
          <w:tcPr>
            <w:tcW w:w="886" w:type="pct"/>
            <w:shd w:val="clear" w:color="auto" w:fill="C2E0F4"/>
            <w:vAlign w:val="center"/>
          </w:tcPr>
          <w:p w14:paraId="28A2AC12">
            <w:pPr>
              <w:pStyle w:val="2"/>
              <w:keepNext w:val="0"/>
              <w:keepLines w:val="0"/>
              <w:widowControl/>
              <w:suppressLineNumbers w:val="0"/>
            </w:pPr>
            <w:r>
              <w:t>中国​</w:t>
            </w:r>
          </w:p>
        </w:tc>
        <w:tc>
          <w:tcPr>
            <w:tcW w:w="928" w:type="pct"/>
            <w:shd w:val="clear" w:color="auto" w:fill="C2E0F4"/>
            <w:vAlign w:val="center"/>
          </w:tcPr>
          <w:p w14:paraId="5D42E777">
            <w:pPr>
              <w:pStyle w:val="2"/>
              <w:keepNext w:val="0"/>
              <w:keepLines w:val="0"/>
              <w:widowControl/>
              <w:suppressLineNumbers w:val="0"/>
            </w:pPr>
            <w:r>
              <w:t>8% - 12%​</w:t>
            </w:r>
          </w:p>
        </w:tc>
        <w:tc>
          <w:tcPr>
            <w:tcW w:w="823" w:type="pct"/>
            <w:shd w:val="clear" w:color="auto" w:fill="C2E0F4"/>
            <w:vAlign w:val="center"/>
          </w:tcPr>
          <w:p w14:paraId="22AA6046">
            <w:pPr>
              <w:pStyle w:val="2"/>
              <w:keepNext w:val="0"/>
              <w:keepLines w:val="0"/>
              <w:widowControl/>
              <w:suppressLineNumbers w:val="0"/>
            </w:pPr>
            <w:r>
              <w:t>安防领域深厚根基、完善的产品体系和渠道网络​</w:t>
            </w:r>
          </w:p>
        </w:tc>
        <w:tc>
          <w:tcPr>
            <w:tcW w:w="1696" w:type="pct"/>
            <w:shd w:val="clear" w:color="auto" w:fill="C2E0F4"/>
            <w:vAlign w:val="center"/>
          </w:tcPr>
          <w:p w14:paraId="772F5518">
            <w:pPr>
              <w:pStyle w:val="2"/>
              <w:keepNext w:val="0"/>
              <w:keepLines w:val="0"/>
              <w:widowControl/>
              <w:suppressLineNumbers w:val="0"/>
            </w:pPr>
            <w:r>
              <w:t>将计算机视觉技术融入安防产品，不断升级产品智能化水平，拓展国内外市场​</w:t>
            </w:r>
          </w:p>
        </w:tc>
      </w:tr>
    </w:tbl>
    <w:p w14:paraId="4E11EC7C">
      <w:pPr>
        <w:pStyle w:val="2"/>
        <w:keepNext w:val="0"/>
        <w:keepLines w:val="0"/>
        <w:widowControl/>
        <w:suppressLineNumbers w:val="0"/>
      </w:pPr>
      <w:r>
        <w:rPr>
          <w:rStyle w:val="5"/>
        </w:rPr>
        <w:t>​3、未来发展趋势预测​</w:t>
      </w:r>
    </w:p>
    <w:p w14:paraId="61DB3140">
      <w:pPr>
        <w:pStyle w:val="2"/>
        <w:keepNext w:val="0"/>
        <w:keepLines w:val="0"/>
        <w:widowControl/>
        <w:suppressLineNumbers w:val="0"/>
      </w:pPr>
      <w:r>
        <w:rPr>
          <w:rStyle w:val="5"/>
        </w:rPr>
        <w:t>1.3.1 技术创新趋势（如 3D 计算机视觉、边缘计算与计算机视觉融合等）​</w:t>
      </w:r>
    </w:p>
    <w:p w14:paraId="2614D293">
      <w:pPr>
        <w:pStyle w:val="2"/>
        <w:keepNext w:val="0"/>
        <w:keepLines w:val="0"/>
        <w:widowControl/>
        <w:suppressLineNumbers w:val="0"/>
      </w:pPr>
      <w:r>
        <w:rPr>
          <w:rStyle w:val="5"/>
        </w:rPr>
        <w:t>据研精毕智信息咨询公布的</w:t>
      </w:r>
      <w:r>
        <w:rPr>
          <w:rStyle w:val="5"/>
        </w:rPr>
        <w:fldChar w:fldCharType="begin"/>
      </w:r>
      <w:r>
        <w:rPr>
          <w:rStyle w:val="5"/>
        </w:rPr>
        <w:instrText xml:space="preserve"> HYPERLINK "https://www.yjbzr.com/reports" \o "研究报告" \t "_blank" </w:instrText>
      </w:r>
      <w:r>
        <w:rPr>
          <w:rStyle w:val="5"/>
        </w:rPr>
        <w:fldChar w:fldCharType="separate"/>
      </w:r>
      <w:r>
        <w:rPr>
          <w:rStyle w:val="6"/>
        </w:rPr>
        <w:t>研究报告</w:t>
      </w:r>
      <w:r>
        <w:rPr>
          <w:rStyle w:val="5"/>
        </w:rPr>
        <w:fldChar w:fldCharType="end"/>
      </w:r>
      <w:r>
        <w:rPr>
          <w:rStyle w:val="5"/>
        </w:rPr>
        <w:t>显示，</w:t>
      </w:r>
      <w:r>
        <w:t>3D 计算机视觉技术近年来发展迅速，其通过获取物体的三维信息，能够更全面、准确地描述物体的形状、位置和姿态，为计算机视觉应用带来更丰富的信息。在工业制造领域，3D 计算机视觉可用于高精度的产品质量检测和缺陷识别，能够检测出传统 2D 视觉难以发现的微小缺陷和形状偏差，提高产品质量和生产效率。在物流仓储中，3D 视觉技术可以实现对货物的三维建模和空间定位，优化货物存储和搬运流程，提高仓储空间利用率和物流自动化水平。未来，3D 计算机视觉技术将朝着更高精度、更快速的方向发展，同时与深度学习算法的结合将更加紧密，实现更智能化的三维物体识别和场景理解。随着传感器技术的不断进步，如结构光传感器、ToF（飞行时间）传感器等的性能提升和成本降低，将进一步推动 3D 计算机视觉技术的广泛应用。​</w:t>
      </w:r>
    </w:p>
    <w:p w14:paraId="2E19BCC3">
      <w:pPr>
        <w:pStyle w:val="2"/>
        <w:keepNext w:val="0"/>
        <w:keepLines w:val="0"/>
        <w:widowControl/>
        <w:suppressLineNumbers w:val="0"/>
      </w:pPr>
      <w:r>
        <w:t>边缘计算与计算机视觉的融合是另一个重要的技术发展趋势。传统的计算机视觉处理通常依赖于云端服务器，数据需要上传到云端进行处理，这存在数据传输延迟高、网络带宽要求高以及数据隐私安全等问题。而边缘计算将计算能力下沉到靠近数据源的边缘设备，如摄像头、智能终端等，能够在本地实时处理视觉数据，减少数据传输量，提高处理速度和响应及时性。在智能安防监控中，边缘计算与计算机视觉融合的摄像头可以在本地实时分析视频图像，检测到异常情况时立即发出警报，无需将大量视频数据上传到云端，大大提高了监控的实时性和安全性。在自动驾驶领域，车辆上的边缘计算设备可以实时处理车载摄像头采集的图像信息，实现对道路、车辆和行人的快速识别和决策，确保行车安全。未来，随着 5G 技术的普及和边缘计算设备性能的提升，边缘计算与计算机视觉的融合将更加深入，应用场景也将不断拓展，为智能交通、工业物联网、智能家居等领域带来更高效、智能的解决方案。​</w:t>
      </w:r>
    </w:p>
    <w:p w14:paraId="2D0E191C">
      <w:pPr>
        <w:pStyle w:val="2"/>
        <w:keepNext w:val="0"/>
        <w:keepLines w:val="0"/>
        <w:widowControl/>
        <w:suppressLineNumbers w:val="0"/>
      </w:pPr>
      <w:r>
        <w:rPr>
          <w:rStyle w:val="5"/>
        </w:rPr>
        <w:t>1.3.2 应用拓展趋势（新兴应用领域的探索与发展）​</w:t>
      </w:r>
    </w:p>
    <w:p w14:paraId="514031BA">
      <w:pPr>
        <w:pStyle w:val="2"/>
        <w:keepNext w:val="0"/>
        <w:keepLines w:val="0"/>
        <w:widowControl/>
        <w:suppressLineNumbers w:val="0"/>
      </w:pPr>
      <w:r>
        <w:t>在智能家居领域，计算机视觉技术正逐渐成为实现家居智能化和人性化交互的关键技术。通过安装在家庭中的摄像头和传感器，计算机视觉系统可以实现人脸识别解锁、人体行为分析、物品识别与管理等功能。当用户回家时，智能家居系统通过人脸识别自动解锁房门，并根据用户的习惯调整室内温度、灯光等设备；通过对家庭成员行为的分析，系统可以智能判断用户的需求，如在用户看电视时自动调节音量、在用户入睡后自动关闭不必要的电器等。未来，随着计算机视觉技术的不断发展和成本的降低，智能家居中的计算机视觉应用将更加普及和智能化，实现家庭环境的全方位智能感知和控制，提升用户的生活品质和便利性。​</w:t>
      </w:r>
    </w:p>
    <w:p w14:paraId="4E6C6141">
      <w:pPr>
        <w:pStyle w:val="2"/>
        <w:keepNext w:val="0"/>
        <w:keepLines w:val="0"/>
        <w:widowControl/>
        <w:suppressLineNumbers w:val="0"/>
      </w:pPr>
      <w:r>
        <w:t>在农业领域，计算机视觉技术为智慧农业的发展提供了强大的支持。利用无人机、地面机器人等设备搭载的计算机视觉系统，可以对农作物的生长状况进行实时监测，包括作物的株高、叶面积、病虫害情况、营养状况等。通过对这些数据的分析，农民可以精准地进行灌溉、施肥、病虫害防治等农事操作，实现精准农业，提高农作物产量和质量，同时减少资源浪费和环境污染。计算机视觉技术还可以用于农产品的采摘和分拣，实现农业生产的自动化和智能化。未来，随着农业现代化进程的加速，计算机视觉技术在农业领域的应用将不断深化和拓展，为保障粮食安全和农业可持续发展做出重要贡献。​</w:t>
      </w:r>
    </w:p>
    <w:p w14:paraId="3155C39A">
      <w:pPr>
        <w:pStyle w:val="2"/>
        <w:keepNext w:val="0"/>
        <w:keepLines w:val="0"/>
        <w:widowControl/>
        <w:suppressLineNumbers w:val="0"/>
      </w:pPr>
      <w:r>
        <w:t>在教育领域，计算机视觉技术也展现出巨大的应用潜力。在智能课堂中，计算机视觉系统可以实时监测学生的课堂表现，如注意力集中程度、学习状态、参与度等，为教师提供反馈，帮助教师调整教学策略，提高教学效果。计算机视觉技术还可以用于智能考试监考，通过人脸识别、行为分析等技术防止作弊行为，确保考试的公平公正。在教育资源开发方面，计算机视觉技术可以实现对教材内容的智能化处理，如将纸质教材转化为互动式电子教材，通过图像识别和增强现实技术为学生提供更加生动、丰富的学习体验。未来，计算机视觉技术将与教育教学深度融合，推动教育信息化和智能化发展，为培养创新型人才提供有力支持。​</w:t>
      </w:r>
    </w:p>
    <w:p w14:paraId="699EF3DE">
      <w:pPr>
        <w:pStyle w:val="2"/>
        <w:keepNext w:val="0"/>
        <w:keepLines w:val="0"/>
        <w:widowControl/>
        <w:suppressLineNumbers w:val="0"/>
      </w:pPr>
      <w:r>
        <w:rPr>
          <w:rStyle w:val="5"/>
        </w:rPr>
        <w:t>1.3.3 产业协同与生态建设趋势​</w:t>
      </w:r>
    </w:p>
    <w:p w14:paraId="07FAD39B">
      <w:pPr>
        <w:pStyle w:val="2"/>
        <w:keepNext w:val="0"/>
        <w:keepLines w:val="0"/>
        <w:widowControl/>
        <w:suppressLineNumbers w:val="0"/>
      </w:pPr>
      <w:r>
        <w:t>计算机视觉产业链涵盖了从底层硬件设备（如摄像头、传感器、计算芯片等）、基础软件（如操作系统、深度学习框架等）、技术研发（图像识别、目标检测等算法研发）到应用服务（安防、医疗、工业等领域的解决方案）等多个环节，产业链上下游企业之间的协同合作对于推动计算机视觉技术的发展和应用至关重要。硬件设备厂商与算法研发企业的合作，可以实现硬件性能与算法效率的优化匹配。摄像头厂商与计算机视觉算法公司合作，根据算法对图像质量和数据采集的需求，研发更适合计算机视觉应用的摄像头产品，提高图像采集的质量和效率；芯片厂商与深度学习框架开发者合作，针对计算机视觉任务的特点，优化芯片的计算架构和性能，提高算法的运行速度和效率。​</w:t>
      </w:r>
    </w:p>
    <w:p w14:paraId="66DC30B6">
      <w:pPr>
        <w:pStyle w:val="2"/>
        <w:keepNext w:val="0"/>
        <w:keepLines w:val="0"/>
        <w:widowControl/>
        <w:suppressLineNumbers w:val="0"/>
      </w:pPr>
      <w:r>
        <w:t>在产业生态建设方面，开放平台和开源社区的发展促进了计算机视觉技术的共享与创新。许多企业和研究机构推出了计算机视觉开放平台，提供算法模型、开发工具和数据集等资源，吸引开发者基于平台进行二次开发和应用创新。谷歌的 TensorFlow、Facebook 的 PyTorch 等深度学习开源框架，以及商汤科技的 SenseParrots 等计算机视觉开源项目，都极大地降低了计算机视觉技术的开发门槛，促进了技术的快速传播和应用。开源社区中开发者之间的交流与合作，加速了算法的优化和创新，推动了计算机视觉技术的不断进步。未来，产业协同和生态建设将更加紧密和完善，形成一个互利共赢的计算机视觉产业生态系统，推动计算机视觉技术在更多领域的广泛应用和深度发展。</w:t>
      </w:r>
    </w:p>
    <w:p w14:paraId="576EB96D">
      <w:pPr>
        <w:pStyle w:val="2"/>
        <w:keepNext w:val="0"/>
        <w:keepLines w:val="0"/>
        <w:widowControl/>
        <w:suppressLineNumbers w:val="0"/>
      </w:pPr>
      <w:r>
        <w:rPr>
          <w:rStyle w:val="5"/>
        </w:rPr>
        <w:t>二、计算机视觉行业挑战与对策​</w:t>
      </w:r>
    </w:p>
    <w:p w14:paraId="6B27AE84">
      <w:pPr>
        <w:pStyle w:val="2"/>
        <w:keepNext w:val="0"/>
        <w:keepLines w:val="0"/>
        <w:widowControl/>
        <w:suppressLineNumbers w:val="0"/>
      </w:pPr>
      <w:r>
        <w:rPr>
          <w:rStyle w:val="5"/>
        </w:rPr>
        <w:t>1、面临的主要挑战​</w:t>
      </w:r>
    </w:p>
    <w:p w14:paraId="63534173">
      <w:pPr>
        <w:pStyle w:val="2"/>
        <w:keepNext w:val="0"/>
        <w:keepLines w:val="0"/>
        <w:widowControl/>
        <w:suppressLineNumbers w:val="0"/>
      </w:pPr>
      <w:r>
        <w:rPr>
          <w:rStyle w:val="5"/>
        </w:rPr>
        <w:t>2.1.1 算法性能与精度瓶颈​</w:t>
      </w:r>
    </w:p>
    <w:p w14:paraId="1B3B69BF">
      <w:pPr>
        <w:pStyle w:val="2"/>
        <w:keepNext w:val="0"/>
        <w:keepLines w:val="0"/>
        <w:widowControl/>
        <w:suppressLineNumbers w:val="0"/>
      </w:pPr>
      <w:r>
        <w:t>尽管深度学习在计算机视觉领域取得了显著进展，但是当前算法在复杂场景下仍面临诸多性能局限。在精度方面，当场景中存在严重的遮挡、光照变化、目标物体的姿态和尺度变化较大时，算法的识别准确率会显著下降。在交通监控场景中，当车辆部分被其他物体遮挡或处于低光照环境下，基于计算机视觉的车牌识别算法可能无法准确识别车牌号码，导致交通管理和执法出现困难。在复杂背景下，如城市街道中存在大量的行人、车辆、建筑物等，目标检测算法容易出现误检和漏检的情况，影响安防监控系统的可靠性。​</w:t>
      </w:r>
    </w:p>
    <w:p w14:paraId="689699AE">
      <w:pPr>
        <w:pStyle w:val="2"/>
        <w:keepNext w:val="0"/>
        <w:keepLines w:val="0"/>
        <w:widowControl/>
        <w:suppressLineNumbers w:val="0"/>
      </w:pPr>
      <w:r>
        <w:t>鲁棒性是计算机视觉算法面临的另一个重要挑战。算法对不同环境和数据分布的适应性不足，导致在实际应用中表现不稳定。不同品牌和型号的摄像头采集的图像数据可能存在差异，如色彩还原度、分辨率、噪声水平等，这可能会影响基于这些图像训练的算法的性能，使其在面对新的摄像头数据时出现识别错误。当训练数据与实际应用场景的数据分布不一致时，算法可能无法很好地泛化，导致性能下降。在医学影像分析中，如果训练数据来自某一特定地区或医院的患者，而应用场景是不同地区的患者，由于不同地区患者的生理特征和疾病表现可能存在差异，算法的诊断准确性可能会受到影响。​</w:t>
      </w:r>
    </w:p>
    <w:p w14:paraId="0D682E62">
      <w:pPr>
        <w:pStyle w:val="2"/>
        <w:keepNext w:val="0"/>
        <w:keepLines w:val="0"/>
        <w:widowControl/>
        <w:suppressLineNumbers w:val="0"/>
      </w:pPr>
      <w:r>
        <w:t>实时性也是计算机视觉算法在一些应用场景中需要突破的关键问题。在自动驾驶、视频监控等对实时性要求较高的领域，算法需要在极短的时间内完成图像分析和决策。然而，随着深度学习模型的不断复杂化，计算量大幅增加，导致处理速度难以满足实时性要求。一些复杂的目标检测和分割算法，由于需要进行大量的卷积、池化等运算，在普通硬件设备上运行时，处理一帧图像可能需要几百毫秒甚至更长时间，这对于自动驾驶汽车来说，可能会导致决策延迟，增加交通事故的风险。​</w:t>
      </w:r>
    </w:p>
    <w:p w14:paraId="457C8047">
      <w:pPr>
        <w:pStyle w:val="2"/>
        <w:keepNext w:val="0"/>
        <w:keepLines w:val="0"/>
        <w:widowControl/>
        <w:suppressLineNumbers w:val="0"/>
      </w:pPr>
      <w:r>
        <w:rPr>
          <w:rStyle w:val="5"/>
        </w:rPr>
        <w:t>2.1.2 数据质量与隐私安全问题​</w:t>
      </w:r>
    </w:p>
    <w:p w14:paraId="7E255E88">
      <w:pPr>
        <w:pStyle w:val="2"/>
        <w:keepNext w:val="0"/>
        <w:keepLines w:val="0"/>
        <w:widowControl/>
        <w:suppressLineNumbers w:val="0"/>
      </w:pPr>
      <w:r>
        <w:t>数据质量对计算机视觉算法的训练效果有着至关重要的影响。低质量的数据，如存在噪声、标注错误、数据不平衡等问题，会导致模型学习到错误的特征，从而降低算法的性能。噪声数据会干扰模型对真实特征的学习，使得模型在识别目标物体时出现偏差。标注错误的数据会误导模型的训练，使其学习到错误的分类信息。数据不平衡问题，即不同类别的数据样本数量差异较大，会导致模型对数量较多的类别过度拟合，而对数量较少的类别识别能力较差。在图像分类任务中，如果训练数据集中某一类别的图像数量远远多于其他类别，模型在训练过程中会更倾向于学习这一类别的特征，从而在测试时对其他类别的图像识别准确率较低。数据隐私和安全在计算机视觉应用中具有重要意义，同时也面临着严峻的挑战。在人脸识别、安防监控等应用中，大量的个人图像数据被收集和存储，这些数据包含了个人的敏感信息，如果被泄露或滥用，将对个人隐私和安全造成严重威胁。黑客攻击、数据泄露事件时有发生，一旦这些数据落入不法分子手中，可能会被用于身份盗窃、诈骗等违法犯罪活动。数据的合法使用也是一个重要问题，如何在保护个人隐私的前提下，合理利用数据进行算法训练和应用，需要建立完善的法律法规和监管机制。一些企业在收集和使用用户图像数据时，可能存在未明确告知用户数据用途、未经用户同意擅自使用数据等问题，侵犯了用户的合法权益。2.1.3 人才短缺与培养难题​</w:t>
      </w:r>
    </w:p>
    <w:p w14:paraId="6EE24CD2">
      <w:pPr>
        <w:pStyle w:val="2"/>
        <w:keepNext w:val="0"/>
        <w:keepLines w:val="0"/>
        <w:widowControl/>
        <w:suppressLineNumbers w:val="0"/>
      </w:pPr>
      <w:r>
        <w:t>计算机视觉领域专业人才短缺是当前行业发展面临的一个重要问题，随着计算机视觉技术的快速发展和应用领域的不断拓展，对专业人才的需求日益增长。然而，由于该领域涉及多学科交叉，要求人才具备扎实的计算机科学、数学、统计学等基础知识，以及深度学习、图像处理等专业技能，培养难度较大，导致人才供给难以满足市场需求。许多高校和科研机构的相关专业课程设置相对滞后，无法及时跟上行业的发展需求，培养出来的学生在实际应用能力和创新能力方面存在不足。​</w:t>
      </w:r>
    </w:p>
    <w:p w14:paraId="6CCB7A9F">
      <w:pPr>
        <w:pStyle w:val="2"/>
        <w:keepNext w:val="0"/>
        <w:keepLines w:val="0"/>
        <w:widowControl/>
        <w:suppressLineNumbers w:val="0"/>
      </w:pPr>
      <w:r>
        <w:t>人才培养面临着诸多困难和挑战。计算机视觉技术更新换代迅速，新的算法和模型不断涌现，要求从业人员不断学习和更新知识。然而，目前缺乏完善的继续教育和培训体系，使得在职人员难以跟上技术发展的步伐。计算机视觉领域的实践项目往往需要大量的计算资源和数据支持，而这些资源在一些高校和研究机构中相对匮乏，限制了学生实践能力的培养。计算机视觉技术的应用涉及到多个行业领域，需要人才具备跨领域的知识和应用能力，但目前的教育体系往往侧重于单一学科的培养，缺乏跨学科的教学和实践环节，导致培养出来的人才难以满足实际应用的需求。​</w:t>
      </w:r>
    </w:p>
    <w:p w14:paraId="6A1AA8C8">
      <w:pPr>
        <w:pStyle w:val="2"/>
        <w:keepNext w:val="0"/>
        <w:keepLines w:val="0"/>
        <w:widowControl/>
        <w:suppressLineNumbers w:val="0"/>
      </w:pPr>
      <w:r>
        <w:rPr>
          <w:rStyle w:val="5"/>
        </w:rPr>
        <w:t>2、应对策略与建议​</w:t>
      </w:r>
    </w:p>
    <w:p w14:paraId="4F0981BA">
      <w:pPr>
        <w:pStyle w:val="2"/>
        <w:keepNext w:val="0"/>
        <w:keepLines w:val="0"/>
        <w:widowControl/>
        <w:suppressLineNumbers w:val="0"/>
      </w:pPr>
      <w:r>
        <w:rPr>
          <w:rStyle w:val="5"/>
        </w:rPr>
        <w:t>2.2.1 技术研发与创新投入​</w:t>
      </w:r>
    </w:p>
    <w:p w14:paraId="268A2CB7">
      <w:pPr>
        <w:pStyle w:val="2"/>
        <w:keepNext w:val="0"/>
        <w:keepLines w:val="0"/>
        <w:widowControl/>
        <w:suppressLineNumbers w:val="0"/>
      </w:pPr>
      <w:r>
        <w:t>为了突破算法性能与精度瓶颈，应加大对计算机视觉技术研发的投入。政府和企业应鼓励高校和科研机构开展前沿研究，支持研发新型的算法和模型，以提高计算机视觉系统在复杂场景下的性能。高校和科研机构可以加强对多模态融合技术的研究，将图像数据与其他传感器数据（如声音、深度信息等）相结合，提供更丰富的信息，提高算法的鲁棒性和准确性。企业应积极参与技术研发，与高校和科研机构建立产学研合作关系，共同攻克技术难题，加速技术成果的转化和应用。通过合作，企业可以将高校和科研机构的前沿研究成果应用到实际产品中，提高产品的竞争力；高校和科研机构可以根据企业的实际需求，开展针对性的研究，提高研究成果的实用性。​</w:t>
      </w:r>
    </w:p>
    <w:p w14:paraId="1E029C7A">
      <w:pPr>
        <w:pStyle w:val="2"/>
        <w:keepNext w:val="0"/>
        <w:keepLines w:val="0"/>
        <w:widowControl/>
        <w:suppressLineNumbers w:val="0"/>
      </w:pPr>
      <w:r>
        <w:rPr>
          <w:rStyle w:val="5"/>
        </w:rPr>
        <w:t>2.2.2 数据管理与安全保障措施​</w:t>
      </w:r>
    </w:p>
    <w:p w14:paraId="75666568">
      <w:pPr>
        <w:pStyle w:val="2"/>
        <w:keepNext w:val="0"/>
        <w:keepLines w:val="0"/>
        <w:widowControl/>
        <w:suppressLineNumbers w:val="0"/>
      </w:pPr>
      <w:r>
        <w:t>建立完善的数据质量管理体系是确保数据质量的关键，数据采集过程中，应采用严格的质量控制标准，确保采集到的数据准确、完整、无噪声。对采集设备进行定期校准和维护，保证设备的正常运行；制定数据采集规范，明确采集的对象、范围、方法和频率等。数据标注环节，应加强对标注人员的培训和管理，提高标注的准确性和一致性。建立标注审核机制，对标注结果进行严格审核，及时发现和纠正标注错误；采用众包标注和自动化标注相结合的方式，提高标注效率和质量。​</w:t>
      </w:r>
    </w:p>
    <w:p w14:paraId="0053F350">
      <w:pPr>
        <w:pStyle w:val="2"/>
        <w:keepNext w:val="0"/>
        <w:keepLines w:val="0"/>
        <w:widowControl/>
        <w:suppressLineNumbers w:val="0"/>
      </w:pPr>
      <w:r>
        <w:t>加强数据安全保障措施，确保数据的合法使用。制定严格的数据安全管理制度，明确数据的存储、传输、使用和销毁等环节的安全要求。采用加密技术对数据进行加密存储和传输，防止数据被窃取或篡改；建立数据访问权限管理机制，根据用户的角色和职责，分配不同的访问权限，确保只有授权人员才能访问敏感数据。加强对数据使用的监管，建立数据使用审计机制，对数据的使用情况进行记录和审计，及时发现和处理违规使用数据的行为。同时，应加强与法律法规的衔接，明确数据隐私和安全的法律责任，为数据安全提供法律保障。​</w:t>
      </w:r>
    </w:p>
    <w:p w14:paraId="3DB8D802">
      <w:pPr>
        <w:pStyle w:val="2"/>
        <w:keepNext w:val="0"/>
        <w:keepLines w:val="0"/>
        <w:widowControl/>
        <w:suppressLineNumbers w:val="0"/>
      </w:pPr>
      <w:r>
        <w:rPr>
          <w:rStyle w:val="5"/>
        </w:rPr>
        <w:t>2.2.3 人才培养与引进机制建设​</w:t>
      </w:r>
    </w:p>
    <w:p w14:paraId="0EB89D81">
      <w:pPr>
        <w:pStyle w:val="2"/>
        <w:keepNext w:val="0"/>
        <w:keepLines w:val="0"/>
        <w:widowControl/>
        <w:suppressLineNumbers w:val="0"/>
      </w:pPr>
      <w:r>
        <w:t>完善计算机视觉人才培养体系，加强高校相关专业建设是培养专业人才的重要途径。高校应优化课程设置，增加计算机视觉相关的专业课程，如深度学习、图像处理、模式识别等，同时注重跨学科课程的开设，培养学生的跨学科思维和应用能力。加强实践教学环节，与企业合作建立实习基地，为学生提供实践机会，让学生在实际项目中锻炼自己的动手能力和创新能力。鼓励学生参与科研项目和竞赛活动，提高学生的科研水平和团队协作能力。​</w:t>
      </w:r>
    </w:p>
    <w:p w14:paraId="26201FC5">
      <w:pPr>
        <w:pStyle w:val="2"/>
        <w:keepNext w:val="0"/>
        <w:keepLines w:val="0"/>
        <w:widowControl/>
        <w:suppressLineNumbers w:val="0"/>
      </w:pPr>
      <w:r>
        <w:t>积极引进海外优秀人才，吸引具有国际视野和丰富经验的专业人才回国发展。政府和企业可以制定优惠政策，为海外人才提供良好的工作和生活环境，包括提供科研经费支持、住房补贴、子女教育等方面的保障。加强国际人才交流与合作，鼓励国内人才与海外人才开展合作研究和学术交流，学习国外先进的技术和经验，提升国内计算机视觉领域的整体水平。通过引进海外优秀人才和加强国际交流合作，为计算机视觉领域的发展注入新的活力，推动行业的快速发展。</w:t>
      </w:r>
    </w:p>
    <w:p w14:paraId="13B5BCE7">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C12EDD"/>
    <w:rsid w:val="46C12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2025-03-28T06:05:00Z</dcterms:created>
  <dc:creator>yoovii</dc:creator>
  <cp:lastModifiedBy>yoovii</cp:lastModifiedBy>
  <dcterms:modified xsi:type="dcterms:W3CDTF">2025-03-28T06:06:10Z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6179EF20D0FA4975A74AE27AAA052FA6_11</vt:lpwstr>
  </property>
  <property fmtid="{D5CDD505-2E9C-101B-9397-08002B2CF9AE}" pid="4" name="KSOTemplateDocerSaveRecord">
    <vt:lpwstr>eyJoZGlkIjoiY2JkNjc3NzUwNmY0YTUwNTkzM2ZkNTNjOWU3MTAwOGIiLCJ1c2VySWQiOiI2MDg2NzQ2MTAifQ==</vt:lpwstr>
  </property>
</Properties>
</file>