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QMTABK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03.0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EEOEHU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EEOEHU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QMTABK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EEOEHU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EEOEHU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Gallic</w:t>
      </w:r>
      <w:r>
        <w:rPr>
          <w:rFonts w:ascii="EEOEHU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acid</w:t>
      </w:r>
    </w:p>
    <w:p>
      <w:pPr>
        <w:spacing w:before="309" w:after="0" w:line="236" w:lineRule="exact"/>
        <w:ind w:left="0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EEOEHU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HY-N0523</w:t>
      </w:r>
    </w:p>
    <w:p>
      <w:pPr>
        <w:spacing w:before="109" w:after="0" w:line="236" w:lineRule="exact"/>
        <w:ind w:left="0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EEOEHU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149-91-7</w:t>
      </w:r>
    </w:p>
    <w:p>
      <w:pPr>
        <w:spacing w:before="107" w:after="0" w:line="238" w:lineRule="exact"/>
        <w:ind w:left="0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GKRPGM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C₇H₆O₅</w:t>
      </w:r>
    </w:p>
    <w:p>
      <w:pPr>
        <w:spacing w:before="105" w:after="0" w:line="238" w:lineRule="exact"/>
        <w:ind w:left="0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GKRPGM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170.12</w:t>
      </w:r>
    </w:p>
    <w:p>
      <w:pPr>
        <w:spacing w:before="105" w:after="0" w:line="238" w:lineRule="exact"/>
        <w:ind w:left="0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GKRPGM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Reactive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Oxygen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Species;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Ferroptosis;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Endogenous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Metabolite</w:t>
      </w:r>
    </w:p>
    <w:p>
      <w:pPr>
        <w:spacing w:before="107" w:after="0" w:line="236" w:lineRule="exact"/>
        <w:ind w:left="0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GKRPGM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Immunology/Inflammation;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Metabolic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Enzyme/Protease;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NF-κB;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</w:p>
    <w:p>
      <w:pPr>
        <w:spacing w:before="109" w:after="0" w:line="236" w:lineRule="exact"/>
        <w:ind w:left="0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GKRPGM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QMTABK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QMTAB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QMTAB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QMTABK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QMTAB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QMTAB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GKRPGM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GKRPGM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EEOEHU+SegoeUI-SemiBold" w:eastAsiaTheme="minorEastAsia" w:cs="EEOEHU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100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587.82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256" w:line="236" w:lineRule="exact"/>
        <w:ind w:left="1996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MTABK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EEOEHU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EOEHU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EEOEHU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EOEHU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EEOEHU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EEOEHU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EOEHU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QMTABK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TAB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5.8782</w:t>
            </w:r>
            <w:r>
              <w:rPr>
                <w:rFonts w:ascii="QMTAB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TAB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QMTABK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TAB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29.3910</w:t>
            </w:r>
            <w:r>
              <w:rPr>
                <w:rFonts w:ascii="QMTAB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TAB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QMTABK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TAB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58.7820</w:t>
            </w:r>
            <w:r>
              <w:rPr>
                <w:rFonts w:ascii="QMTAB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TAB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EEOEHU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1.1756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QMTABK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5.8782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QMTABK+SegoeUI" w:hAnsi="Calibri" w:eastAsiaTheme="minorEastAsia" w:cstheme="minorBidi"/>
          <w:color w:val="3E3A39"/>
          <w:spacing w:val="923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11.7564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EEOEHU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0.5878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QMTABK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2.9391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QMTABK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5.8782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GKRPGM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GKRPGM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QMTABK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GKRPGM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QMTABK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QMTABK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GKRPGM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GKRPGM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QMTABK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GKRPGM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EEOEHU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GKRPGM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GKRPGM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GKRPGM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GKRPGM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KRPGM+AdobeHeitiStd-Regular-Identity-H" w:hAnsi="GKRPGM+AdobeHeitiStd-Regular-Identity-H" w:eastAsiaTheme="minorEastAsia" w:cs="GKRPGM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EEOEHU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GKRPGM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EEOEHU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EEOEHU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EEOEHU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(14.70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GKRPGM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GKRPG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(14.70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QMTAB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6" w:right="0" w:firstLine="0"/>
        <w:jc w:val="left"/>
        <w:rPr>
          <w:rFonts w:ascii="GKRPGM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GKRPG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QMTAB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GKRPG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QMTAB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GKRPGM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QMTAB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GKRPG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QMTAB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GKRPG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MTABK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GKRPGM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GKRPGM+AdobeHeitiStd-Regular-Identity-H" w:hAnsi="GKRPGM+AdobeHeitiStd-Regular-Identity-H" w:eastAsiaTheme="minorEastAsia" w:cs="GKRPGM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EEOEHU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RPGM+AdobeHeitiStd-Regular-Identity-H" w:hAnsi="GKRPGM+AdobeHeitiStd-Regular-Identity-H" w:eastAsiaTheme="minorEastAsia" w:cs="GKRPGM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GKRPGM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EEOEHU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EEOEHU+SegoeUI-SemiBold" w:eastAsiaTheme="minorEastAsia" w:cs="EEOEHU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EOEH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QMTAB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QMTABK+SegoeUI" w:eastAsiaTheme="minorEastAsia" w:cs="QMTABK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(14.70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MTAB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0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6" w:right="0" w:firstLine="0"/>
        <w:jc w:val="left"/>
        <w:rPr>
          <w:rFonts w:ascii="ABBGAA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35pt;height:701.2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ABBGA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(14.70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QWONQ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溶液。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ABBGA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QWONQ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ABBGA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QWONQ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ABBGAA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QWONQ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ABBGA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QWONQ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ABBGAA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QWONQO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6" w:right="0" w:firstLine="0"/>
        <w:jc w:val="left"/>
        <w:rPr>
          <w:rFonts w:ascii="ABBGAA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ABBGAA+AdobeHeitiStd-Regular-Identity-H" w:hAnsi="ABBGAA+AdobeHeitiStd-Regular-Identity-H" w:eastAsiaTheme="minorEastAsia" w:cs="ABBGAA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063" w:after="0" w:line="276" w:lineRule="exact"/>
        <w:ind w:left="216" w:right="0" w:firstLine="0"/>
        <w:jc w:val="left"/>
        <w:rPr>
          <w:rFonts w:ascii="PFGPMB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PFGPM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PFGPM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PFGPM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p>
      <w:pPr>
        <w:spacing w:before="243" w:after="0" w:line="242" w:lineRule="exact"/>
        <w:ind w:left="250" w:right="0" w:firstLine="0"/>
        <w:jc w:val="left"/>
        <w:rPr>
          <w:rFonts w:ascii="ABBGAA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ABBGAA+AdobeHeitiStd-Regular-Identity-H" w:hAnsi="ABBGAA+AdobeHeitiStd-Regular-Identity-H" w:eastAsiaTheme="minorEastAsia" w:cs="ABBGAA+AdobeHeitiStd-Regular-Identity-H"/>
          <w:color w:val="3E3A39"/>
          <w:sz w:val="17"/>
          <w:szCs w:val="22"/>
          <w:lang w:val="en-US" w:eastAsia="en-US" w:bidi="ar-SA"/>
        </w:rPr>
        <w:t>⽣物活性</w:t>
      </w:r>
      <w:r>
        <w:rPr>
          <w:rFonts w:ascii="ABBGAA+AdobeHeitiStd-Regular-Identity-H" w:hAnsi="Calibri" w:eastAsiaTheme="minorEastAsia" w:cstheme="minorBidi"/>
          <w:color w:val="3E3A39"/>
          <w:spacing w:val="1051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ABBGAA+AdobeHeitiStd-Regular-Identity-H" w:hAnsi="ABBGAA+AdobeHeitiStd-Regular-Identity-H" w:eastAsiaTheme="minorEastAsia" w:cs="ABBGAA+AdobeHeitiStd-Regular-Identity-H"/>
          <w:color w:val="3E3A39"/>
          <w:spacing w:val="-10969"/>
          <w:sz w:val="17"/>
          <w:szCs w:val="22"/>
          <w:lang w:val="en-US" w:eastAsia="en-US" w:bidi="ar-SA"/>
        </w:rPr>
        <w:t>是</w:t>
      </w: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COX-2</w:t>
      </w:r>
      <w:r>
        <w:rPr>
          <w:rFonts w:ascii="PFGPMB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ABBGAA+AdobeHeitiStd-Regular-Identity-H" w:hAnsi="ABBGAA+AdobeHeitiStd-Regular-Identity-H" w:eastAsiaTheme="minorEastAsia" w:cs="ABBGAA+AdobeHeitiStd-Regular-Identity-H"/>
          <w:color w:val="3E3A39"/>
          <w:sz w:val="17"/>
          <w:szCs w:val="22"/>
          <w:lang w:val="en-US" w:eastAsia="en-US" w:bidi="ar-SA"/>
        </w:rPr>
        <w:t>的抑制剂。</w:t>
      </w:r>
    </w:p>
    <w:p>
      <w:pPr>
        <w:spacing w:before="302" w:after="0" w:line="236" w:lineRule="exact"/>
        <w:ind w:left="2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PMB+SegoeUI-SemiBold" w:hAnsi="PFGPMB+SegoeUI-SemiBold" w:eastAsiaTheme="minorEastAsia" w:cs="PFGPMB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PFGPMB+SegoeUI-SemiBold" w:hAnsi="Calibri" w:eastAsiaTheme="minorEastAsia" w:cstheme="minorBidi"/>
          <w:b/>
          <w:color w:val="3E3A39"/>
          <w:spacing w:val="70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COX-2</w:t>
      </w:r>
      <w:r>
        <w:rPr>
          <w:rFonts w:ascii="QWONQO+SegoeUI" w:hAnsi="Calibri" w:eastAsiaTheme="minorEastAsia" w:cstheme="minorBidi"/>
          <w:color w:val="3E3A39"/>
          <w:spacing w:val="1756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Endogenous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Metabolite</w:t>
      </w:r>
    </w:p>
    <w:p>
      <w:pPr>
        <w:spacing w:before="30" w:after="0" w:line="242" w:lineRule="exact"/>
        <w:ind w:left="4313" w:right="0" w:firstLine="0"/>
        <w:jc w:val="left"/>
        <w:rPr>
          <w:rFonts w:ascii="ABBGAA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ABBGAA+AdobeHeitiStd-Regular-Identity-H" w:hAnsi="ABBGAA+AdobeHeitiStd-Regular-Identity-H" w:eastAsiaTheme="minorEastAsia" w:cs="ABBGAA+AdobeHeitiStd-Regular-Identity-H"/>
          <w:color w:val="3E3A39"/>
          <w:sz w:val="17"/>
          <w:szCs w:val="22"/>
          <w:lang w:val="en-US" w:eastAsia="en-US" w:bidi="ar-SA"/>
        </w:rPr>
        <w:t>批量添加)</w:t>
      </w:r>
    </w:p>
    <w:p>
      <w:pPr>
        <w:spacing w:before="305" w:after="0" w:line="237" w:lineRule="exact"/>
        <w:ind w:left="2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BBGAA+AdobeHeitiStd-Regular-Identity-H" w:hAnsi="ABBGAA+AdobeHeitiStd-Regular-Identity-H" w:eastAsiaTheme="minorEastAsia" w:cs="ABBGAA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ABBGAA+AdobeHeitiStd-Regular-Identity-H" w:hAnsi="Calibri" w:eastAsiaTheme="minorEastAsia" w:cstheme="minorBidi"/>
          <w:color w:val="3E3A39"/>
          <w:spacing w:val="1051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antioxidant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COX-2</w:t>
      </w:r>
      <w:r>
        <w:rPr>
          <w:rFonts w:ascii="QWONQO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</w:t>
      </w:r>
      <w:r>
        <w:rPr>
          <w:rFonts w:ascii="QWONQO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18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viable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neutrophils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dramatically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40.3%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27.7%,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highly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comparable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26.4%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untreated</w:t>
      </w:r>
    </w:p>
    <w:p>
      <w:pPr>
        <w:spacing w:before="35" w:after="0" w:line="236" w:lineRule="exact"/>
        <w:ind w:left="2018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neutrophils.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fails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attenuate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isoproterenol-induced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myocytolysis</w:t>
      </w:r>
      <w:r>
        <w:rPr>
          <w:rFonts w:ascii="QWONQO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BBGAA+AdobeHeitiStd-Regular-Identity-H" w:hAnsi="ABBGAA+AdobeHeitiStd-Regular-Identity-H" w:eastAsiaTheme="minorEastAsia" w:cs="ABBGAA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ABBGAA+AdobeHeitiStd-Regular-Identity-H" w:hAnsi="Calibri" w:eastAsiaTheme="minorEastAsia" w:cstheme="minorBidi"/>
          <w:color w:val="3E3A39"/>
          <w:spacing w:val="1051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food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intake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(2.6±0.08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g/day,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p=0.69)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(2.5±0.69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p=0.76)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</w:p>
    <w:p>
      <w:pPr>
        <w:spacing w:before="0" w:after="0" w:line="266" w:lineRule="exact"/>
        <w:ind w:left="2018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differ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those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(food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intake;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2.41±0.14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g/day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weight;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2.83±0.84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cr/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g/day).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glucose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tolerance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improved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cr/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glucose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tolerance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period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better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cr/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90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120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p&lt;0.05).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serum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triglyceride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cr/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(0.67±0.03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p&lt;0.05)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relative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(1.08±0.20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total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cr/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cholesterol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similar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(3.19±0.27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(3.01±0.18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  <w:r>
        <w:rPr>
          <w:rFonts w:ascii="QWONQO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PFGPMB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PFGPMB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PMB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PFGPMB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Neutrophils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μg/mL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RPMI1640/10%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FBS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3,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6,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9,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</w:t>
      </w:r>
      <w:r>
        <w:rPr>
          <w:rFonts w:ascii="QWONQO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h.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Annexin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V-FITC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according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manufacturer's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instructions.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Briefly,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washed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twice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ice-cold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PBS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resuspended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1×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Buffer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1×10</w:t>
      </w:r>
      <w:r>
        <w:rPr>
          <w:rFonts w:ascii="QWONQO+SegoeUI" w:hAnsi="Calibri" w:eastAsiaTheme="minorEastAsia" w:cstheme="minorBidi"/>
          <w:color w:val="3E3A39"/>
          <w:sz w:val="14"/>
          <w:szCs w:val="22"/>
          <w:lang w:val="en-US" w:eastAsia="en-US" w:bidi="ar-SA"/>
        </w:rPr>
        <w:t>6</w:t>
      </w:r>
      <w:r>
        <w:rPr>
          <w:rFonts w:ascii="QWONQO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cells/mL.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suspensions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(1×10</w:t>
      </w:r>
      <w:r>
        <w:rPr>
          <w:rFonts w:ascii="QWONQO+SegoeUI" w:hAnsi="Calibri" w:eastAsiaTheme="minorEastAsia" w:cstheme="minorBidi"/>
          <w:color w:val="3E3A39"/>
          <w:sz w:val="14"/>
          <w:szCs w:val="22"/>
          <w:lang w:val="en-US" w:eastAsia="en-US" w:bidi="ar-SA"/>
        </w:rPr>
        <w:t>5</w:t>
      </w:r>
      <w:r>
        <w:rPr>
          <w:rFonts w:ascii="QWONQO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μL)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Annexin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V-FITC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QWONQO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tube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QWONQO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immediately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analyzed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flow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cytometry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system</w:t>
      </w:r>
      <w:r>
        <w:rPr>
          <w:rFonts w:ascii="QWONQO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PFGPMB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Five-week-old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C57BL/6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study.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maintained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temperature-controlled</w:t>
      </w:r>
    </w:p>
    <w:p>
      <w:pPr>
        <w:spacing w:before="35" w:after="0" w:line="236" w:lineRule="exact"/>
        <w:ind w:left="26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PFGPM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FGPMB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PFGPMB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QWONQO+SegoeUI" w:eastAsiaTheme="minorEastAsia" w:cs="QWONQO+SegoeUI"/>
          <w:color w:val="3E3A39"/>
          <w:sz w:val="17"/>
          <w:szCs w:val="22"/>
          <w:lang w:val="en-US" w:eastAsia="en-US" w:bidi="ar-SA"/>
        </w:rPr>
        <w:t>22°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light-dark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photocycle.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divided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intraperitoneal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basis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(10%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alcohol,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10%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tween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80%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saline)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GTTs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conducted,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taken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subsequent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biochemical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analysis.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experimental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period,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food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intake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weight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basis</w:t>
      </w:r>
      <w:r>
        <w:rPr>
          <w:rFonts w:ascii="QWONQO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QWONQO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QWONQO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683" w:after="0" w:line="276" w:lineRule="exact"/>
        <w:ind w:left="31" w:right="0" w:firstLine="0"/>
        <w:jc w:val="left"/>
        <w:rPr>
          <w:rFonts w:ascii="PFGPMB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PFGPMB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QWONQO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Amaravani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M,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COX-2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structural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analysis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docking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studies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with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structural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analogues.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Springerplus.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2012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Dec;1(1):58.</w:t>
      </w:r>
    </w:p>
    <w:p>
      <w:pPr>
        <w:spacing w:before="202" w:after="0" w:line="223" w:lineRule="exact"/>
        <w:ind w:left="0" w:right="0" w:firstLine="0"/>
        <w:jc w:val="left"/>
        <w:rPr>
          <w:rFonts w:ascii="QWONQO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Bak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EJ,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Gallic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acid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improves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glucose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tolerance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triglyceride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concentration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diet-induced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obesity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mice.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Scand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Clin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Lab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Invest.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2013</w:t>
      </w:r>
    </w:p>
    <w:p>
      <w:pPr>
        <w:spacing w:before="32" w:after="0" w:line="223" w:lineRule="exact"/>
        <w:ind w:left="0" w:right="0" w:firstLine="0"/>
        <w:jc w:val="left"/>
        <w:rPr>
          <w:rFonts w:ascii="QWONQO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QWONQO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Dec;73(8):607-14.</w:t>
      </w:r>
    </w:p>
    <w:p>
      <w:pPr>
        <w:spacing w:before="675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23" w:lineRule="exact"/>
        <w:ind w:left="0" w:right="0" w:firstLine="0"/>
        <w:jc w:val="left"/>
        <w:rPr>
          <w:rFonts w:ascii="UOHATF+SegoeUI" w:hAnsi="Calibri"/>
          <w:color w:val="000000"/>
          <w:sz w:val="16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1072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25pt;height:62.05pt;margin-top:34pt;margin-left:29.85pt;mso-position-horizontal-relative:page;mso-position-vertical-relative:page;position:absolute;z-index:-251653120">
            <v:imagedata r:id="rId9" o:title=""/>
          </v:shape>
        </w:pict>
      </w:r>
      <w:r>
        <w:rPr>
          <w:noProof/>
        </w:rPr>
        <w:pict>
          <v:shape id="_x0000_s1032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Cheng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Y,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Plant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Natural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Products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Calycosin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Gallic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Acid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Synergistically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Attenuate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Neutrophil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Infiltration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Subsequent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Injury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Isoproterenol-</w:t>
      </w:r>
    </w:p>
    <w:p>
      <w:pPr>
        <w:spacing w:before="32" w:after="0" w:line="223" w:lineRule="exact"/>
        <w:ind w:left="0" w:right="0" w:firstLine="0"/>
        <w:jc w:val="left"/>
        <w:rPr>
          <w:rFonts w:ascii="UOHATF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Induced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Myocardial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Infarction: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Possible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Role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Leukotriene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B4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12-Hydroxydehydrogenase?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Oxid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Med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Longev.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OHATF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2015;2015:434052.</w:t>
      </w:r>
    </w:p>
    <w:p>
      <w:pPr>
        <w:spacing w:before="429" w:after="0" w:line="257" w:lineRule="exact"/>
        <w:ind w:left="0" w:right="0" w:firstLine="0"/>
        <w:jc w:val="left"/>
        <w:rPr>
          <w:rFonts w:ascii="UOHATF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UOHATF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4967" w:after="0" w:line="236" w:lineRule="exact"/>
        <w:ind w:left="1918" w:right="0" w:firstLine="0"/>
        <w:jc w:val="left"/>
        <w:rPr>
          <w:rFonts w:ascii="DOHRAT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OHRA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HIPKU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HIPKUQ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HIPKUQ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HIPKUQ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HIPKUQ+SegoeUI" w:hAnsi="HIPKUQ+SegoeUI" w:eastAsiaTheme="minorEastAsia" w:cs="HIPKUQ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HIPKUQ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GUIVCP+AdobeHeitiStd-Regular-Identity-H" w:hAnsi="GUIVCP+AdobeHeitiStd-Regular-Identity-H" w:eastAsiaTheme="minorEastAsia" w:cs="GUIVCP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722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EEOEHU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QMTABK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GKRPGM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ABBGAA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WONQO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PFGPMB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UOHATF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DOHRAT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IPKUQ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GUIVCP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