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A6972">
      <w:pPr>
        <w:pStyle w:val="2"/>
        <w:bidi w:val="0"/>
        <w:jc w:val="center"/>
        <w:rPr>
          <w:rFonts w:hint="eastAsia" w:ascii="宋体" w:hAnsi="宋体" w:eastAsia="宋体" w:cs="宋体"/>
          <w:sz w:val="32"/>
          <w:szCs w:val="20"/>
        </w:rPr>
      </w:pPr>
      <w:r>
        <w:rPr>
          <w:rFonts w:hint="eastAsia" w:ascii="宋体" w:hAnsi="宋体" w:eastAsia="宋体" w:cs="宋体"/>
          <w:sz w:val="32"/>
          <w:szCs w:val="20"/>
        </w:rPr>
        <w:t>让低钠饮食成为高血压的 “克星”</w:t>
      </w:r>
    </w:p>
    <w:p w14:paraId="5EB84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据世界卫生组织</w:t>
      </w:r>
      <w:r>
        <w:rPr>
          <w:rFonts w:hint="eastAsia" w:ascii="宋体" w:hAnsi="宋体" w:eastAsia="宋体" w:cs="宋体"/>
          <w:lang w:val="en-US" w:eastAsia="zh-CN"/>
        </w:rPr>
        <w:t>（WHO）</w:t>
      </w:r>
      <w:r>
        <w:rPr>
          <w:rFonts w:hint="eastAsia" w:ascii="宋体" w:hAnsi="宋体" w:eastAsia="宋体" w:cs="宋体"/>
          <w:lang w:val="en-US" w:eastAsia="zh-CN"/>
        </w:rPr>
        <w:t>统计，</w:t>
      </w:r>
      <w:r>
        <w:rPr>
          <w:rFonts w:hint="eastAsia" w:ascii="宋体" w:hAnsi="宋体" w:eastAsia="宋体" w:cs="宋体"/>
        </w:rPr>
        <w:t>全世界</w:t>
      </w:r>
      <w:r>
        <w:rPr>
          <w:rFonts w:hint="eastAsia" w:ascii="宋体" w:hAnsi="宋体" w:eastAsia="宋体" w:cs="宋体"/>
          <w:lang w:val="en-US" w:eastAsia="zh-CN"/>
        </w:rPr>
        <w:t>约</w:t>
      </w:r>
      <w:r>
        <w:rPr>
          <w:rFonts w:hint="eastAsia" w:ascii="宋体" w:hAnsi="宋体" w:eastAsia="宋体" w:cs="宋体"/>
        </w:rPr>
        <w:t>有12.8亿30-79岁成年人患有高血压，</w:t>
      </w:r>
      <w:r>
        <w:rPr>
          <w:rFonts w:hint="eastAsia" w:ascii="宋体" w:hAnsi="宋体" w:eastAsia="宋体" w:cs="宋体"/>
          <w:lang w:val="en-US" w:eastAsia="zh-CN"/>
        </w:rPr>
        <w:t>仅</w:t>
      </w:r>
      <w:r>
        <w:rPr>
          <w:rFonts w:hint="eastAsia" w:ascii="宋体" w:hAnsi="宋体" w:eastAsia="宋体" w:cs="宋体"/>
        </w:rPr>
        <w:t>近五分之一成年高血压患者（21%）的问题得到了控制。</w:t>
      </w:r>
      <w:r>
        <w:rPr>
          <w:rFonts w:hint="eastAsia" w:ascii="宋体" w:hAnsi="宋体" w:eastAsia="宋体" w:cs="宋体"/>
          <w:lang w:val="en-US" w:eastAsia="zh-CN"/>
        </w:rPr>
        <w:t>在中国，高血压的现状令人担忧，据统计，成人高血压患病人数已达 2.45 亿，血压正常高值人数则高达 4.35 亿。</w:t>
      </w:r>
    </w:p>
    <w:p w14:paraId="62413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11006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高血压主要分为原发性高血压和继发性高血压。原发性高血压最为常见，其发病原因复杂，通常与遗传、生活方式、环境等多种因素相互作用有关。</w:t>
      </w:r>
      <w:r>
        <w:rPr>
          <w:rFonts w:hint="eastAsia" w:ascii="宋体" w:hAnsi="宋体" w:eastAsia="宋体" w:cs="宋体"/>
          <w:lang w:val="en-US" w:eastAsia="zh-CN"/>
        </w:rPr>
        <w:t>而</w:t>
      </w:r>
      <w:r>
        <w:rPr>
          <w:rFonts w:hint="eastAsia" w:ascii="宋体" w:hAnsi="宋体" w:eastAsia="宋体" w:cs="宋体"/>
          <w:lang w:val="en-US" w:eastAsia="zh-CN"/>
        </w:rPr>
        <w:t>继发性高血压是由某些确定的疾病或病因引起的血压升高 ，如肾实质性疾病、内分泌疾病、心血管疾病、颅脑疾病等，去除病因后部分患者血压可得到有效控制。</w:t>
      </w:r>
    </w:p>
    <w:p w14:paraId="3C1FC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1EA13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饮食结构中高盐因素对高血压风险的影响</w:t>
      </w:r>
    </w:p>
    <w:p w14:paraId="5196B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4C47B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在我国的传统饮食结构中，高盐食物较多，如</w:t>
      </w:r>
      <w:r>
        <w:rPr>
          <w:rFonts w:hint="eastAsia" w:ascii="宋体" w:hAnsi="宋体" w:eastAsia="宋体" w:cs="宋体"/>
          <w:lang w:val="en-US" w:eastAsia="zh-CN"/>
        </w:rPr>
        <w:t>腌制食品</w:t>
      </w:r>
      <w:r>
        <w:rPr>
          <w:rFonts w:hint="eastAsia" w:ascii="宋体" w:hAnsi="宋体" w:eastAsia="宋体" w:cs="宋体"/>
          <w:lang w:val="en-US" w:eastAsia="zh-CN"/>
        </w:rPr>
        <w:t>等。</w:t>
      </w:r>
      <w:r>
        <w:rPr>
          <w:rFonts w:hint="eastAsia" w:ascii="宋体" w:hAnsi="宋体" w:eastAsia="宋体" w:cs="宋体"/>
          <w:lang w:val="en-US" w:eastAsia="zh-CN"/>
        </w:rPr>
        <w:t>以咸菜为例，每 100 克咸菜中盐含量可能高达 10 - 15 克。</w:t>
      </w:r>
      <w:r>
        <w:rPr>
          <w:rFonts w:hint="eastAsia" w:ascii="宋体" w:hAnsi="宋体" w:eastAsia="宋体" w:cs="宋体"/>
          <w:lang w:val="en-US" w:eastAsia="zh-CN"/>
        </w:rPr>
        <w:t>而正常成年人每日盐含量摄入应小于5克。</w:t>
      </w:r>
      <w:r>
        <w:rPr>
          <w:rFonts w:hint="eastAsia" w:ascii="宋体" w:hAnsi="宋体" w:eastAsia="宋体" w:cs="宋体"/>
          <w:lang w:val="en-US" w:eastAsia="zh-CN"/>
        </w:rPr>
        <w:t>此外，中式加工肉类如腊肉、香肠等盐含量也很高，每 100 克腊肉中盐含量大约在 3 - 5 克。长期食用这些高盐食物会使人群，尤其是盐敏感型人群高血压的发病风险显著上升。</w:t>
      </w:r>
    </w:p>
    <w:p w14:paraId="286C4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3EE21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盐敏感型个体在摄入高盐饮食后，血压升高的幅度明显高于盐不敏感型个体。当盐敏感者摄入过量的盐时，会导致体内钠水潴留。由于肾脏对钠的调节功能在盐敏感型人群中可能存在异常，不能有效地将多余的钠排出体外。过多的钠会使血容量增加，进而升高血压。</w:t>
      </w:r>
    </w:p>
    <w:p w14:paraId="60B36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64844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例如，一项长期的人群追踪研究发现，盐敏感型人群每天盐摄入量如果超过 </w:t>
      </w:r>
      <w:r>
        <w:rPr>
          <w:rFonts w:hint="eastAsia" w:ascii="宋体" w:hAnsi="宋体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 xml:space="preserve"> 克，高血压的发病风险会比正常盐摄入量人群（每天少于 </w:t>
      </w:r>
      <w:r>
        <w:rPr>
          <w:rFonts w:hint="eastAsia" w:ascii="宋体" w:hAnsi="宋体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 xml:space="preserve"> 克）高出约 30% - 50%。</w:t>
      </w:r>
    </w:p>
    <w:p w14:paraId="71833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51EA4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对于盐敏感型人群以及普通人群预防高血压而言，减少盐摄入是关键的一步。世界卫生组织建议成年人每天盐摄入量不超过 </w:t>
      </w:r>
      <w:r>
        <w:rPr>
          <w:rFonts w:hint="eastAsia" w:ascii="宋体" w:hAnsi="宋体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 xml:space="preserve"> 克。可以在烹饪时使用限盐勺来精确控制盐的用量。</w:t>
      </w:r>
    </w:p>
    <w:p w14:paraId="31DC8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0C32F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常用</w:t>
      </w:r>
      <w:r>
        <w:rPr>
          <w:rFonts w:hint="eastAsia" w:ascii="宋体" w:hAnsi="宋体" w:eastAsia="宋体" w:cs="宋体"/>
          <w:b/>
          <w:bCs/>
          <w:lang w:val="en-US" w:eastAsia="zh-CN"/>
        </w:rPr>
        <w:t>五大类药物及复方制剂</w:t>
      </w:r>
    </w:p>
    <w:p w14:paraId="50E6E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  <w:lang w:val="en-US" w:eastAsia="zh-CN"/>
        </w:rPr>
      </w:pPr>
    </w:p>
    <w:p w14:paraId="2227A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β受体拮抗剂</w:t>
      </w:r>
    </w:p>
    <w:p w14:paraId="11D06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作用机制：抑制中枢和周围交感神经 β 受体，抑制心肌收缩力和减慢心率，从而发挥降压作用。</w:t>
      </w:r>
    </w:p>
    <w:p w14:paraId="194C7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常用药物：美托洛尔、阿替洛尔、比索洛尔、普萘洛尔等。</w:t>
      </w:r>
    </w:p>
    <w:p w14:paraId="1B801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苏莱乐®富马酸比索洛尔片是β受体阻滞剂，适用于高血压、冠心病及特定心衰患者。通过拮抗交感神经，降低心排血量、改善血压调节、抑制肾素血管紧张素醛固酮系统等机制降压，具有高 β1 选择性，对糖脂代谢和肺功能影响小，能实现血压心率双控，保护心脏。因其水脂双溶，口服吸收好、生物利用度高、半衰期长，可 24 小时平稳降压，中枢副作用小，轻中度肝肾功能损害患者无需调整剂量。与美托洛尔相比，它在控制心率和长期生存获益上更具优势。</w:t>
      </w:r>
    </w:p>
    <w:p w14:paraId="10A43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130675" cy="2843530"/>
            <wp:effectExtent l="0" t="0" r="3175" b="13970"/>
            <wp:docPr id="2" name="图片 2" descr="苏莱乐®富马酸比索洛尔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苏莱乐®富马酸比索洛尔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30675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42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</w:p>
    <w:p w14:paraId="405DB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固定剂量复方降压药</w:t>
      </w:r>
    </w:p>
    <w:p w14:paraId="5FEBA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作用机制：将不同降压机制药物组合，协同起效。如 ACEI 与利尿剂搭配，ACEI 抑制血管紧张素、减轻水钠潴留，利尿剂降低血容量；钙通道阻滞剂与 β 受体阻滞剂联用，分别舒张血管、降低心率和心输出量，共同调控血压。</w:t>
      </w:r>
    </w:p>
    <w:p w14:paraId="406F1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常用药物</w:t>
      </w:r>
      <w:r>
        <w:rPr>
          <w:rFonts w:hint="eastAsia" w:ascii="宋体" w:hAnsi="宋体" w:eastAsia="宋体" w:cs="宋体"/>
          <w:lang w:val="en-US" w:eastAsia="zh-CN"/>
        </w:rPr>
        <w:t>：</w:t>
      </w:r>
      <w:r>
        <w:rPr>
          <w:rFonts w:hint="eastAsia" w:ascii="宋体" w:hAnsi="宋体" w:eastAsia="宋体" w:cs="宋体"/>
          <w:lang w:val="en-US" w:eastAsia="zh-CN"/>
        </w:rPr>
        <w:t>厄贝沙坦氢氯噻嗪片</w:t>
      </w:r>
      <w:r>
        <w:rPr>
          <w:rFonts w:hint="eastAsia" w:ascii="宋体" w:hAnsi="宋体" w:eastAsia="宋体" w:cs="宋体"/>
          <w:lang w:val="en-US"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缬沙坦氨氯地平片</w:t>
      </w:r>
      <w:r>
        <w:rPr>
          <w:rFonts w:hint="eastAsia" w:ascii="宋体" w:hAnsi="宋体" w:eastAsia="宋体" w:cs="宋体"/>
          <w:lang w:val="en-US"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培哚普利吲达帕胺片</w:t>
      </w:r>
      <w:r>
        <w:rPr>
          <w:rFonts w:hint="eastAsia" w:ascii="宋体" w:hAnsi="宋体" w:eastAsia="宋体" w:cs="宋体"/>
          <w:lang w:val="en-US"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比索洛尔氨氯地平片</w:t>
      </w:r>
      <w:r>
        <w:rPr>
          <w:rFonts w:hint="eastAsia" w:ascii="宋体" w:hAnsi="宋体" w:eastAsia="宋体" w:cs="宋体"/>
          <w:lang w:val="en-US" w:eastAsia="zh-CN"/>
        </w:rPr>
        <w:t>等</w:t>
      </w:r>
      <w:bookmarkStart w:id="0" w:name="_GoBack"/>
      <w:bookmarkEnd w:id="0"/>
    </w:p>
    <w:p w14:paraId="5C45A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08A6B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苏莱宁®比索洛尔氨氯地平片，由比索洛尔和氨氯地平组成。比索洛尔抑制交感神经、减慢心率、减少心脏氧耗，氨氯地平舒张血管、降低外周阻力、抑制心肌肥厚。二者联合有协同作用，能增强降压效果，实现血压心率双达标，为心血管提供保护，适用于多种合并症患者，是权威指南推荐的高血压治疗理想联合方案 。</w:t>
      </w:r>
    </w:p>
    <w:p w14:paraId="0D61C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362450" cy="2453640"/>
            <wp:effectExtent l="0" t="0" r="0" b="3810"/>
            <wp:docPr id="3" name="图片 3" descr="苏莱宁®比索洛尔氨氯地平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苏莱宁®比索洛尔氨氯地平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A5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6054F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利尿剂</w:t>
      </w:r>
    </w:p>
    <w:p w14:paraId="23198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作用机制：通过排水排钠，减少细胞外容量，降低外周血管阻力从而降压。</w:t>
      </w:r>
    </w:p>
    <w:p w14:paraId="6D8B5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常用药物：噻嗪类利尿剂如氢氯噻嗪、吲达帕胺等；袢利尿剂如呋塞米；保钾利尿剂如螺内酯。</w:t>
      </w:r>
    </w:p>
    <w:p w14:paraId="7B9CC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钙通道阻滞剂（CCB）</w:t>
      </w:r>
    </w:p>
    <w:p w14:paraId="0FE42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作用机制：阻止钙离子从细胞外进入心血管系统细胞内，减弱兴奋收缩耦联，从而降低阻力血管的收缩反应。</w:t>
      </w:r>
    </w:p>
    <w:p w14:paraId="14AAB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常用药物：硝苯地平、氨氯地平、非洛地平、维拉帕米等。</w:t>
      </w:r>
    </w:p>
    <w:p w14:paraId="675A7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血管紧张素转换酶抑制剂（ACEI）</w:t>
      </w:r>
    </w:p>
    <w:p w14:paraId="2DF4B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作用机制：抑制血管紧张素 Ⅱ 生成起到降压作用。</w:t>
      </w:r>
    </w:p>
    <w:p w14:paraId="40FD9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常用药物：卡托普利、依那普利、贝那普利等。</w:t>
      </w:r>
    </w:p>
    <w:p w14:paraId="4B01D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血管紧张素 Ⅱ 受体拮抗剂（ARB）</w:t>
      </w:r>
    </w:p>
    <w:p w14:paraId="6987B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作用机制：通过抑制血管紧张素 Ⅱ 发挥生理作用起到降压作用。</w:t>
      </w:r>
    </w:p>
    <w:p w14:paraId="7AD0A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常用药物：缬沙坦、厄贝沙坦、替米沙坦、氯沙坦等。</w:t>
      </w:r>
    </w:p>
    <w:p w14:paraId="39321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</w:p>
    <w:p w14:paraId="6C06F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高血压患者的日常注意事项</w:t>
      </w:r>
    </w:p>
    <w:p w14:paraId="50CE2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高血压患者在日常生活中需要特别注意自我管理。除了合理饮食和按时服药外，还应保持适量运动，如每周进行至少 150 分钟的中等强度有氧运动，像快走、慢跑、游泳等，运动有助于控制体重、增强心血管功能，对血压控制有益。</w:t>
      </w:r>
    </w:p>
    <w:p w14:paraId="0A3B3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戒烟限酒</w:t>
      </w:r>
      <w:r>
        <w:rPr>
          <w:rFonts w:hint="eastAsia" w:ascii="宋体" w:hAnsi="宋体" w:eastAsia="宋体" w:cs="宋体"/>
          <w:lang w:val="en-US"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保持良好的心态</w:t>
      </w:r>
      <w:r>
        <w:rPr>
          <w:rFonts w:hint="eastAsia" w:ascii="宋体" w:hAnsi="宋体" w:eastAsia="宋体" w:cs="宋体"/>
          <w:lang w:val="en-US"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定期监测血压</w:t>
      </w:r>
      <w:r>
        <w:rPr>
          <w:rFonts w:hint="eastAsia" w:ascii="宋体" w:hAnsi="宋体" w:eastAsia="宋体" w:cs="宋体"/>
          <w:lang w:val="en-US"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建议在家中自备血压计，每天早晚测量血压，并记录下来，以便及时发现血压变化，调整治疗方案</w:t>
      </w:r>
      <w:r>
        <w:rPr>
          <w:rFonts w:hint="eastAsia" w:ascii="宋体" w:hAnsi="宋体" w:eastAsia="宋体" w:cs="宋体"/>
          <w:lang w:val="en-US" w:eastAsia="zh-CN"/>
        </w:rPr>
        <w:t>。</w:t>
      </w:r>
    </w:p>
    <w:p w14:paraId="526CA1AD">
      <w:pPr>
        <w:rPr>
          <w:rFonts w:hint="eastAsia" w:ascii="宋体" w:hAnsi="宋体" w:eastAsia="宋体" w:cs="宋体"/>
          <w:lang w:val="en-US" w:eastAsia="zh-CN"/>
        </w:rPr>
      </w:pPr>
    </w:p>
    <w:p w14:paraId="42536597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参考文献</w:t>
      </w:r>
    </w:p>
    <w:p w14:paraId="1466FC23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  <w:lang w:val="en-US" w:eastAsia="zh-CN"/>
        </w:rPr>
        <w:t xml:space="preserve">WHO世界卫生组织高血压报告2023 </w:t>
      </w:r>
      <w:r>
        <w:rPr>
          <w:rFonts w:hint="eastAsia" w:ascii="宋体" w:hAnsi="宋体" w:eastAsia="宋体" w:cs="宋体"/>
          <w:sz w:val="16"/>
          <w:szCs w:val="20"/>
        </w:rPr>
        <w:t>https://www.who.int/zh/news-room/fact-sheets/detail/hypertension</w:t>
      </w:r>
    </w:p>
    <w:p w14:paraId="4F76D9D6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中国心血管健康与疾病报告 2022.</w:t>
      </w:r>
    </w:p>
    <w:p w14:paraId="1C7B5139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中国高血压防治指南 2018 年修订版.</w:t>
      </w:r>
    </w:p>
    <w:p w14:paraId="0F6EB722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2018 年 ESC 高血压管理指南.</w:t>
      </w:r>
    </w:p>
    <w:p w14:paraId="118F14AF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β 肾上腺素能受体阻滞剂的规范使用。人民卫生出版社.</w:t>
      </w:r>
    </w:p>
    <w:p w14:paraId="7D66F9C2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Wellstein A, et al. J Cardiovasc Pharmacol. 1986;8 (Suppl. 11):36 - 40.</w:t>
      </w:r>
    </w:p>
    <w:p w14:paraId="1DB8AC5F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Wellstein A, et al. Eur Heart J. 1987;8 (Suppl. M):3–8.</w:t>
      </w:r>
    </w:p>
    <w:p w14:paraId="5EAC028E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CREATIVE 研究.</w:t>
      </w:r>
    </w:p>
    <w:p w14:paraId="631E5D87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Journal of Clinical Medicine in Practice. 2019, 23(02):35 - 38.</w:t>
      </w:r>
    </w:p>
    <w:p w14:paraId="5C152DD3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Cardiol Ther. 2015; 4(2): 179 - 190.</w:t>
      </w:r>
    </w:p>
    <w:p w14:paraId="670C21A6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Clinical Medication Journal，June，2023，Vol.21，No.6.</w:t>
      </w:r>
    </w:p>
    <w:p w14:paraId="79024C6D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Rational Pharmacotherapy in Cardiology, 2015.</w:t>
      </w:r>
    </w:p>
    <w:p w14:paraId="19545C2B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</w:rPr>
      </w:pPr>
      <w:r>
        <w:rPr>
          <w:rFonts w:hint="eastAsia" w:ascii="宋体" w:hAnsi="宋体" w:eastAsia="宋体" w:cs="宋体"/>
          <w:sz w:val="16"/>
          <w:szCs w:val="20"/>
        </w:rPr>
        <w:t>Kardiologiia. 2014;54(9):17 - 23. Russian.</w:t>
      </w:r>
    </w:p>
    <w:p w14:paraId="17E7509D"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sz w:val="16"/>
          <w:szCs w:val="20"/>
          <w:lang w:val="en-US" w:eastAsia="zh-CN"/>
        </w:rPr>
      </w:pPr>
      <w:r>
        <w:rPr>
          <w:rFonts w:hint="eastAsia" w:ascii="宋体" w:hAnsi="宋体" w:eastAsia="宋体" w:cs="宋体"/>
          <w:sz w:val="16"/>
          <w:szCs w:val="20"/>
        </w:rPr>
        <w:t>Clinical Medication Journal， 2023, 21(6):63 - 71.</w:t>
      </w:r>
    </w:p>
    <w:p w14:paraId="2BCCE79E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671EDF"/>
    <w:multiLevelType w:val="singleLevel"/>
    <w:tmpl w:val="7F671ED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C0484"/>
    <w:rsid w:val="38D026AA"/>
    <w:rsid w:val="453A0C85"/>
    <w:rsid w:val="706C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1494</Words>
  <Characters>1536</Characters>
  <Lines>0</Lines>
  <Paragraphs>0</Paragraphs>
  <TotalTime>7</TotalTime>
  <ScaleCrop>false</ScaleCrop>
  <LinksUpToDate>false</LinksUpToDate>
  <CharactersWithSpaces>1582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2025-01-09T09:08:00Z</dcterms:created>
  <dc:creator>颖妹儿</dc:creator>
  <cp:lastModifiedBy>媛小媛</cp:lastModifiedBy>
  <dcterms:modified xsi:type="dcterms:W3CDTF">2025-01-13T09:30:03Z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8CEE4CF456FD4B339DE893314872E253_11</vt:lpwstr>
  </property>
  <property fmtid="{D5CDD505-2E9C-101B-9397-08002B2CF9AE}" pid="4" name="KSOTemplateDocerSaveRecord">
    <vt:lpwstr>eyJoZGlkIjoiYTQ0NDU4MDRlZjRjMTgyZDkwZWNlYTM3ZDllZmEyZjUiLCJ1c2VySWQiOiIxOTQzMDI2MDAifQ==</vt:lpwstr>
  </property>
</Properties>
</file>