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16.10.1.0 -->
  <w:body>
    <w:p>
      <w:pPr>
        <w:spacing w:before="0" w:line="911" w:lineRule="exact"/>
        <w:ind w:left="647" w:right="0" w:firstLine="0"/>
        <w:jc w:val="center"/>
        <w:rPr>
          <w:b/>
          <w:sz w:val="72"/>
        </w:rPr>
      </w:pPr>
      <w:r>
        <w:rPr>
          <w:b/>
          <w:w w:val="95"/>
          <w:sz w:val="72"/>
        </w:rPr>
        <w:t>施工组织设计</w:t>
      </w:r>
    </w:p>
    <w:p>
      <w:pPr>
        <w:tabs>
          <w:tab w:val="left" w:pos="3125"/>
        </w:tabs>
        <w:spacing w:before="283"/>
        <w:ind w:left="698" w:right="0" w:firstLine="0"/>
        <w:jc w:val="center"/>
        <w:rPr>
          <w:sz w:val="54"/>
        </w:rPr>
      </w:pPr>
      <w:r>
        <w:rPr>
          <w:sz w:val="54"/>
        </w:rPr>
        <w:t>目</w:t>
        <w:tab/>
        <w:t>录</w:t>
      </w:r>
    </w:p>
    <w:p>
      <w:pPr>
        <w:pStyle w:val="BodyText"/>
        <w:spacing w:before="3"/>
        <w:ind w:left="0"/>
        <w:rPr>
          <w:sz w:val="27"/>
        </w:rPr>
      </w:pPr>
    </w:p>
    <w:p>
      <w:pPr>
        <w:spacing w:after="0"/>
        <w:rPr>
          <w:sz w:val="27"/>
        </w:rPr>
        <w:sectPr>
          <w:type w:val="continuous"/>
          <w:pgSz w:w="17860" w:h="25260"/>
          <w:pgMar w:top="1560" w:right="2200" w:bottom="280" w:left="2560" w:header="1160" w:footer="708"/>
          <w:cols w:space="708"/>
        </w:sectPr>
      </w:pPr>
    </w:p>
    <w:p>
      <w:pPr>
        <w:spacing w:before="50"/>
        <w:ind w:left="140" w:right="0" w:firstLine="0"/>
        <w:jc w:val="left"/>
        <w:rPr>
          <w:sz w:val="36"/>
        </w:rPr>
      </w:pPr>
      <w:r>
        <w:rPr>
          <w:sz w:val="36"/>
        </w:rPr>
        <w:t>一、工程概况</w:t>
      </w:r>
    </w:p>
    <w:p>
      <w:pPr>
        <w:spacing w:before="241"/>
        <w:ind w:left="140" w:right="0" w:firstLine="0"/>
        <w:jc w:val="left"/>
        <w:rPr>
          <w:sz w:val="36"/>
        </w:rPr>
      </w:pPr>
      <w:r>
        <w:rPr>
          <w:sz w:val="36"/>
        </w:rPr>
        <w:t>二、组织设计编制依据</w:t>
      </w:r>
    </w:p>
    <w:p>
      <w:pPr>
        <w:spacing w:before="50"/>
        <w:ind w:left="140" w:right="0" w:firstLine="0"/>
        <w:jc w:val="left"/>
        <w:rPr>
          <w:sz w:val="36"/>
        </w:rPr>
      </w:pPr>
      <w:r>
        <w:br w:type="column"/>
      </w:r>
      <w:r>
        <w:rPr>
          <w:sz w:val="36"/>
        </w:rPr>
        <w:t>（二）木制作部分施工方案及措施</w:t>
      </w:r>
    </w:p>
    <w:p>
      <w:pPr>
        <w:spacing w:before="241"/>
        <w:ind w:left="140" w:right="0" w:firstLine="0"/>
        <w:jc w:val="left"/>
        <w:rPr>
          <w:sz w:val="36"/>
        </w:rPr>
      </w:pPr>
      <w:r>
        <w:rPr>
          <w:sz w:val="36"/>
        </w:rPr>
        <w:t>（</w:t>
      </w:r>
      <w:r>
        <w:rPr>
          <w:rFonts w:ascii="Cambria" w:eastAsia="Cambria"/>
          <w:sz w:val="36"/>
        </w:rPr>
        <w:t>1</w:t>
      </w:r>
      <w:r>
        <w:rPr>
          <w:sz w:val="36"/>
        </w:rPr>
        <w:t>）工艺流程</w:t>
      </w:r>
    </w:p>
    <w:p>
      <w:pPr>
        <w:spacing w:after="0"/>
        <w:jc w:val="left"/>
        <w:rPr>
          <w:sz w:val="36"/>
        </w:rPr>
        <w:sectPr>
          <w:type w:val="continuous"/>
          <w:pgSz w:w="17860" w:h="25260"/>
          <w:pgMar w:top="1560" w:right="2200" w:bottom="280" w:left="2560" w:header="708" w:footer="708"/>
          <w:cols w:num="2" w:space="708" w:equalWidth="0">
            <w:col w:w="3781" w:space="2768"/>
            <w:col w:w="6551"/>
          </w:cols>
        </w:sectPr>
      </w:pPr>
    </w:p>
    <w:p>
      <w:pPr>
        <w:pStyle w:val="BodyText"/>
        <w:spacing w:before="5"/>
        <w:ind w:left="0"/>
        <w:rPr>
          <w:sz w:val="11"/>
        </w:rPr>
      </w:pPr>
    </w:p>
    <w:p>
      <w:pPr>
        <w:tabs>
          <w:tab w:val="left" w:pos="6689"/>
        </w:tabs>
        <w:spacing w:before="94"/>
        <w:ind w:left="140" w:right="0" w:firstLine="0"/>
        <w:jc w:val="left"/>
        <w:rPr>
          <w:sz w:val="36"/>
        </w:rPr>
      </w:pPr>
      <w:r>
        <w:rPr>
          <w:sz w:val="36"/>
        </w:rPr>
        <w:t>三、施工预备</w:t>
        <w:tab/>
      </w:r>
      <w:r>
        <w:rPr>
          <w:w w:val="95"/>
          <w:sz w:val="36"/>
        </w:rPr>
        <w:t>（</w:t>
      </w:r>
      <w:r>
        <w:rPr>
          <w:rFonts w:ascii="Cambria" w:eastAsia="Cambria"/>
          <w:w w:val="95"/>
          <w:sz w:val="36"/>
        </w:rPr>
        <w:t>2</w:t>
      </w:r>
      <w:r>
        <w:rPr>
          <w:w w:val="95"/>
          <w:sz w:val="36"/>
        </w:rPr>
        <w:t>）保证方案及措施</w:t>
      </w:r>
    </w:p>
    <w:p>
      <w:pPr>
        <w:tabs>
          <w:tab w:val="left" w:pos="6689"/>
        </w:tabs>
        <w:spacing w:before="241"/>
        <w:ind w:left="140" w:right="0" w:firstLine="0"/>
        <w:jc w:val="left"/>
        <w:rPr>
          <w:sz w:val="36"/>
        </w:rPr>
      </w:pPr>
      <w:r>
        <w:rPr>
          <w:sz w:val="36"/>
        </w:rPr>
        <w:t>（一）施工采纳的标准、规范</w:t>
        <w:tab/>
        <w:t>（三）公共部分天花吊顶施工方案及</w:t>
      </w:r>
    </w:p>
    <w:p>
      <w:pPr>
        <w:tabs>
          <w:tab w:val="left" w:pos="7770"/>
        </w:tabs>
        <w:spacing w:before="241"/>
        <w:ind w:left="140" w:right="0" w:firstLine="0"/>
        <w:jc w:val="left"/>
        <w:rPr>
          <w:sz w:val="36"/>
        </w:rPr>
      </w:pPr>
      <w:r>
        <w:rPr>
          <w:sz w:val="36"/>
        </w:rPr>
        <w:t>（二）施工组织机构及管理投入</w:t>
        <w:tab/>
        <w:t>措施</w:t>
      </w:r>
    </w:p>
    <w:p>
      <w:pPr>
        <w:pStyle w:val="BodyText"/>
        <w:spacing w:before="6"/>
        <w:ind w:left="0"/>
        <w:rPr>
          <w:sz w:val="11"/>
        </w:rPr>
      </w:pPr>
    </w:p>
    <w:p>
      <w:pPr>
        <w:spacing w:after="0"/>
        <w:rPr>
          <w:sz w:val="11"/>
        </w:rPr>
        <w:sectPr>
          <w:type w:val="continuous"/>
          <w:pgSz w:w="17860" w:h="25260"/>
          <w:pgMar w:top="1560" w:right="2200" w:bottom="280" w:left="2560" w:header="708" w:footer="708"/>
          <w:cols w:space="708"/>
        </w:sectPr>
      </w:pPr>
    </w:p>
    <w:p>
      <w:pPr>
        <w:spacing w:before="94"/>
        <w:ind w:left="140" w:right="0" w:firstLine="0"/>
        <w:jc w:val="left"/>
        <w:rPr>
          <w:sz w:val="36"/>
        </w:rPr>
      </w:pPr>
      <w:r>
        <w:rPr>
          <w:sz w:val="36"/>
        </w:rPr>
        <w:t>（三）主要实物工程量</w:t>
      </w:r>
    </w:p>
    <w:p>
      <w:pPr>
        <w:spacing w:before="241"/>
        <w:ind w:left="140" w:right="0" w:firstLine="0"/>
        <w:jc w:val="left"/>
        <w:rPr>
          <w:sz w:val="36"/>
        </w:rPr>
      </w:pPr>
      <w:r>
        <w:rPr>
          <w:sz w:val="36"/>
        </w:rPr>
        <w:t>（四）图纸会审和技术交底</w:t>
      </w:r>
    </w:p>
    <w:p>
      <w:pPr>
        <w:spacing w:before="241"/>
        <w:ind w:left="140" w:right="0" w:firstLine="0"/>
        <w:jc w:val="left"/>
        <w:rPr>
          <w:sz w:val="36"/>
        </w:rPr>
      </w:pPr>
      <w:r>
        <w:rPr>
          <w:sz w:val="36"/>
        </w:rPr>
        <w:t>（五）现场勘测</w:t>
      </w:r>
    </w:p>
    <w:p>
      <w:pPr>
        <w:spacing w:before="241" w:line="364" w:lineRule="auto"/>
        <w:ind w:left="140" w:right="1118" w:firstLine="0"/>
        <w:jc w:val="left"/>
        <w:rPr>
          <w:sz w:val="36"/>
        </w:rPr>
      </w:pPr>
      <w:r>
        <w:rPr>
          <w:spacing w:val="-1"/>
          <w:sz w:val="36"/>
        </w:rPr>
        <w:t>（六）各专业之间的协作关系</w:t>
      </w:r>
      <w:r>
        <w:rPr>
          <w:sz w:val="36"/>
        </w:rPr>
        <w:t>四、现场管理措施</w:t>
      </w:r>
    </w:p>
    <w:p>
      <w:pPr>
        <w:pStyle w:val="ListParagraph"/>
        <w:numPr>
          <w:ilvl w:val="1"/>
          <w:numId w:val="16"/>
        </w:numPr>
        <w:tabs>
          <w:tab w:val="left" w:pos="771"/>
        </w:tabs>
        <w:spacing w:before="2" w:after="0" w:line="240" w:lineRule="auto"/>
        <w:ind w:left="770" w:right="0" w:hanging="631"/>
        <w:jc w:val="left"/>
        <w:rPr>
          <w:sz w:val="36"/>
        </w:rPr>
      </w:pPr>
      <w:r>
        <w:rPr>
          <w:sz w:val="36"/>
        </w:rPr>
        <w:t>标准化工作</w:t>
      </w:r>
    </w:p>
    <w:p>
      <w:pPr>
        <w:pStyle w:val="ListParagraph"/>
        <w:numPr>
          <w:ilvl w:val="1"/>
          <w:numId w:val="16"/>
        </w:numPr>
        <w:tabs>
          <w:tab w:val="left" w:pos="771"/>
        </w:tabs>
        <w:spacing w:before="240" w:after="0" w:line="240" w:lineRule="auto"/>
        <w:ind w:left="770" w:right="0" w:hanging="631"/>
        <w:jc w:val="left"/>
        <w:rPr>
          <w:sz w:val="36"/>
        </w:rPr>
      </w:pPr>
      <w:r>
        <w:rPr>
          <w:sz w:val="36"/>
        </w:rPr>
        <w:t>表格化管理</w:t>
      </w:r>
    </w:p>
    <w:p>
      <w:pPr>
        <w:pStyle w:val="ListParagraph"/>
        <w:numPr>
          <w:ilvl w:val="1"/>
          <w:numId w:val="16"/>
        </w:numPr>
        <w:tabs>
          <w:tab w:val="left" w:pos="771"/>
        </w:tabs>
        <w:spacing w:before="241" w:after="0" w:line="240" w:lineRule="auto"/>
        <w:ind w:left="770" w:right="0" w:hanging="631"/>
        <w:jc w:val="left"/>
        <w:rPr>
          <w:sz w:val="36"/>
        </w:rPr>
      </w:pPr>
      <w:r>
        <w:rPr>
          <w:sz w:val="36"/>
        </w:rPr>
        <w:t>现场质量施工管理体系</w:t>
      </w:r>
    </w:p>
    <w:p>
      <w:pPr>
        <w:pStyle w:val="ListParagraph"/>
        <w:numPr>
          <w:ilvl w:val="1"/>
          <w:numId w:val="16"/>
        </w:numPr>
        <w:tabs>
          <w:tab w:val="left" w:pos="681"/>
        </w:tabs>
        <w:spacing w:before="241" w:after="0" w:line="240" w:lineRule="auto"/>
        <w:ind w:left="680" w:right="0" w:hanging="541"/>
        <w:jc w:val="left"/>
        <w:rPr>
          <w:sz w:val="36"/>
        </w:rPr>
      </w:pPr>
      <w:r>
        <w:rPr>
          <w:sz w:val="36"/>
        </w:rPr>
        <w:t>成本控制管理</w:t>
      </w:r>
    </w:p>
    <w:p>
      <w:pPr>
        <w:pStyle w:val="ListParagraph"/>
        <w:numPr>
          <w:ilvl w:val="1"/>
          <w:numId w:val="16"/>
        </w:numPr>
        <w:tabs>
          <w:tab w:val="left" w:pos="771"/>
        </w:tabs>
        <w:spacing w:before="241" w:after="0" w:line="240" w:lineRule="auto"/>
        <w:ind w:left="770" w:right="0" w:hanging="631"/>
        <w:jc w:val="left"/>
        <w:rPr>
          <w:sz w:val="36"/>
        </w:rPr>
      </w:pPr>
      <w:r>
        <w:rPr>
          <w:sz w:val="36"/>
        </w:rPr>
        <w:t>安全文明管理体系</w:t>
      </w:r>
    </w:p>
    <w:p>
      <w:pPr>
        <w:pStyle w:val="ListParagraph"/>
        <w:numPr>
          <w:ilvl w:val="1"/>
          <w:numId w:val="16"/>
        </w:numPr>
        <w:tabs>
          <w:tab w:val="left" w:pos="771"/>
        </w:tabs>
        <w:spacing w:before="241" w:after="0" w:line="240" w:lineRule="auto"/>
        <w:ind w:left="770" w:right="0" w:hanging="631"/>
        <w:jc w:val="left"/>
        <w:rPr>
          <w:sz w:val="36"/>
        </w:rPr>
      </w:pPr>
      <w:r>
        <w:rPr>
          <w:sz w:val="36"/>
        </w:rPr>
        <w:t>施工进度控制措施</w:t>
      </w:r>
    </w:p>
    <w:p>
      <w:pPr>
        <w:spacing w:before="241" w:line="364" w:lineRule="auto"/>
        <w:ind w:left="860" w:right="38" w:hanging="720"/>
        <w:jc w:val="left"/>
        <w:rPr>
          <w:sz w:val="36"/>
        </w:rPr>
      </w:pPr>
      <w:r>
        <w:rPr>
          <w:spacing w:val="-1"/>
          <w:sz w:val="36"/>
        </w:rPr>
        <w:t>五、主要分部工程的施工方案和技术</w:t>
      </w:r>
      <w:r>
        <w:rPr>
          <w:sz w:val="36"/>
        </w:rPr>
        <w:t>措施</w:t>
      </w:r>
    </w:p>
    <w:p>
      <w:pPr>
        <w:spacing w:before="1"/>
        <w:ind w:left="140" w:right="0" w:firstLine="0"/>
        <w:jc w:val="left"/>
        <w:rPr>
          <w:sz w:val="36"/>
        </w:rPr>
      </w:pPr>
      <w:r>
        <w:rPr>
          <w:sz w:val="36"/>
        </w:rPr>
        <w:t>（一）</w:t>
      </w:r>
      <w:r>
        <w:rPr>
          <w:rFonts w:ascii="Cambria" w:eastAsia="Cambria"/>
          <w:sz w:val="36"/>
        </w:rPr>
        <w:t>GRC</w:t>
      </w:r>
      <w:r>
        <w:rPr>
          <w:rFonts w:ascii="Cambria" w:eastAsia="Cambria"/>
          <w:spacing w:val="30"/>
          <w:sz w:val="36"/>
        </w:rPr>
        <w:t xml:space="preserve"> </w:t>
      </w:r>
      <w:r>
        <w:rPr>
          <w:sz w:val="36"/>
        </w:rPr>
        <w:t>工程施工方案及措施</w:t>
      </w:r>
    </w:p>
    <w:p>
      <w:pPr>
        <w:pStyle w:val="ListParagraph"/>
        <w:numPr>
          <w:ilvl w:val="0"/>
          <w:numId w:val="15"/>
        </w:numPr>
        <w:tabs>
          <w:tab w:val="left" w:pos="1042"/>
        </w:tabs>
        <w:spacing w:before="241" w:after="0" w:line="240" w:lineRule="auto"/>
        <w:ind w:left="1041" w:right="0" w:hanging="902"/>
        <w:jc w:val="left"/>
        <w:rPr>
          <w:sz w:val="36"/>
        </w:rPr>
      </w:pPr>
      <w:r>
        <w:rPr>
          <w:sz w:val="36"/>
        </w:rPr>
        <w:t>工艺流程</w:t>
      </w:r>
    </w:p>
    <w:p>
      <w:pPr>
        <w:pStyle w:val="ListParagraph"/>
        <w:numPr>
          <w:ilvl w:val="0"/>
          <w:numId w:val="15"/>
        </w:numPr>
        <w:tabs>
          <w:tab w:val="left" w:pos="1042"/>
        </w:tabs>
        <w:spacing w:before="241" w:after="0" w:line="240" w:lineRule="auto"/>
        <w:ind w:left="1041" w:right="0" w:hanging="902"/>
        <w:jc w:val="left"/>
        <w:rPr>
          <w:sz w:val="36"/>
        </w:rPr>
      </w:pPr>
      <w:r>
        <w:rPr>
          <w:sz w:val="36"/>
        </w:rPr>
        <w:t>安装施工方案及措施</w:t>
      </w:r>
    </w:p>
    <w:p>
      <w:pPr>
        <w:pStyle w:val="ListParagraph"/>
        <w:numPr>
          <w:ilvl w:val="0"/>
          <w:numId w:val="14"/>
        </w:numPr>
        <w:tabs>
          <w:tab w:val="left" w:pos="1043"/>
        </w:tabs>
        <w:spacing w:before="94" w:after="0" w:line="240" w:lineRule="auto"/>
        <w:ind w:left="1042" w:right="0" w:hanging="903"/>
        <w:jc w:val="left"/>
        <w:rPr>
          <w:sz w:val="36"/>
        </w:rPr>
      </w:pPr>
      <w:r>
        <w:rPr>
          <w:sz w:val="36"/>
        </w:rPr>
        <w:br w:type="column"/>
      </w:r>
      <w:r>
        <w:rPr>
          <w:sz w:val="36"/>
        </w:rPr>
        <w:t>工艺流程</w:t>
      </w:r>
    </w:p>
    <w:p>
      <w:pPr>
        <w:pStyle w:val="ListParagraph"/>
        <w:numPr>
          <w:ilvl w:val="0"/>
          <w:numId w:val="14"/>
        </w:numPr>
        <w:tabs>
          <w:tab w:val="left" w:pos="1043"/>
        </w:tabs>
        <w:spacing w:before="241" w:after="0" w:line="240" w:lineRule="auto"/>
        <w:ind w:left="1042" w:right="0" w:hanging="903"/>
        <w:jc w:val="left"/>
        <w:rPr>
          <w:sz w:val="36"/>
        </w:rPr>
      </w:pPr>
      <w:r>
        <w:rPr>
          <w:sz w:val="36"/>
        </w:rPr>
        <w:t>保证方案及措施</w:t>
      </w:r>
    </w:p>
    <w:p>
      <w:pPr>
        <w:pStyle w:val="ListParagraph"/>
        <w:numPr>
          <w:ilvl w:val="0"/>
          <w:numId w:val="14"/>
        </w:numPr>
        <w:tabs>
          <w:tab w:val="left" w:pos="1043"/>
        </w:tabs>
        <w:spacing w:before="241" w:after="0" w:line="240" w:lineRule="auto"/>
        <w:ind w:left="1042" w:right="0" w:hanging="903"/>
        <w:jc w:val="left"/>
        <w:rPr>
          <w:sz w:val="36"/>
        </w:rPr>
      </w:pPr>
      <w:r>
        <w:rPr>
          <w:sz w:val="36"/>
        </w:rPr>
        <w:t>石膏板双飞粉乳胶漆饰面</w:t>
      </w:r>
    </w:p>
    <w:p>
      <w:pPr>
        <w:spacing w:before="241"/>
        <w:ind w:left="140" w:right="0" w:firstLine="0"/>
        <w:jc w:val="left"/>
        <w:rPr>
          <w:sz w:val="36"/>
        </w:rPr>
      </w:pPr>
      <w:r>
        <w:rPr>
          <w:sz w:val="36"/>
        </w:rPr>
        <w:t>（四）地砖铺设吊顶施工方案及措施</w:t>
      </w:r>
    </w:p>
    <w:p>
      <w:pPr>
        <w:pStyle w:val="ListParagraph"/>
        <w:numPr>
          <w:ilvl w:val="0"/>
          <w:numId w:val="13"/>
        </w:numPr>
        <w:tabs>
          <w:tab w:val="left" w:pos="1043"/>
        </w:tabs>
        <w:spacing w:before="240" w:after="0" w:line="240" w:lineRule="auto"/>
        <w:ind w:left="1042" w:right="0" w:hanging="903"/>
        <w:jc w:val="left"/>
        <w:rPr>
          <w:sz w:val="36"/>
        </w:rPr>
      </w:pPr>
      <w:r>
        <w:rPr>
          <w:sz w:val="36"/>
        </w:rPr>
        <w:t>工艺流程</w:t>
      </w:r>
    </w:p>
    <w:p>
      <w:pPr>
        <w:pStyle w:val="ListParagraph"/>
        <w:numPr>
          <w:ilvl w:val="0"/>
          <w:numId w:val="13"/>
        </w:numPr>
        <w:tabs>
          <w:tab w:val="left" w:pos="1043"/>
        </w:tabs>
        <w:spacing w:before="241" w:after="0" w:line="240" w:lineRule="auto"/>
        <w:ind w:left="1042" w:right="0" w:hanging="903"/>
        <w:jc w:val="left"/>
        <w:rPr>
          <w:sz w:val="36"/>
        </w:rPr>
      </w:pPr>
      <w:r>
        <w:rPr>
          <w:sz w:val="36"/>
        </w:rPr>
        <w:t>保证施工质量及措施</w:t>
      </w:r>
    </w:p>
    <w:p>
      <w:pPr>
        <w:pStyle w:val="ListParagraph"/>
        <w:numPr>
          <w:ilvl w:val="0"/>
          <w:numId w:val="13"/>
        </w:numPr>
        <w:tabs>
          <w:tab w:val="left" w:pos="1043"/>
        </w:tabs>
        <w:spacing w:before="241" w:after="0" w:line="240" w:lineRule="auto"/>
        <w:ind w:left="1042" w:right="0" w:hanging="903"/>
        <w:jc w:val="left"/>
        <w:rPr>
          <w:sz w:val="36"/>
        </w:rPr>
      </w:pPr>
      <w:r>
        <w:rPr>
          <w:sz w:val="36"/>
        </w:rPr>
        <w:t>地砖铺设质量要求</w:t>
      </w:r>
    </w:p>
    <w:p>
      <w:pPr>
        <w:spacing w:before="241" w:line="364" w:lineRule="auto"/>
        <w:ind w:left="1221" w:right="647" w:hanging="1081"/>
        <w:jc w:val="left"/>
        <w:rPr>
          <w:sz w:val="36"/>
        </w:rPr>
      </w:pPr>
      <w:r>
        <w:rPr>
          <w:spacing w:val="-1"/>
          <w:sz w:val="36"/>
        </w:rPr>
        <w:t>（五）</w:t>
      </w:r>
      <w:r>
        <w:rPr>
          <w:sz w:val="36"/>
        </w:rPr>
        <w:t>石头漆喷涂吊顶施工方案及措施</w:t>
      </w:r>
    </w:p>
    <w:p>
      <w:pPr>
        <w:pStyle w:val="ListParagraph"/>
        <w:numPr>
          <w:ilvl w:val="0"/>
          <w:numId w:val="12"/>
        </w:numPr>
        <w:tabs>
          <w:tab w:val="left" w:pos="1043"/>
        </w:tabs>
        <w:spacing w:before="2" w:after="0" w:line="240" w:lineRule="auto"/>
        <w:ind w:left="1042" w:right="0" w:hanging="903"/>
        <w:jc w:val="left"/>
        <w:rPr>
          <w:sz w:val="36"/>
        </w:rPr>
      </w:pPr>
      <w:r>
        <w:rPr>
          <w:sz w:val="36"/>
        </w:rPr>
        <w:t>工艺流程</w:t>
      </w:r>
    </w:p>
    <w:p>
      <w:pPr>
        <w:pStyle w:val="ListParagraph"/>
        <w:numPr>
          <w:ilvl w:val="0"/>
          <w:numId w:val="12"/>
        </w:numPr>
        <w:tabs>
          <w:tab w:val="left" w:pos="1043"/>
        </w:tabs>
        <w:spacing w:before="241" w:after="0" w:line="240" w:lineRule="auto"/>
        <w:ind w:left="1042" w:right="0" w:hanging="903"/>
        <w:jc w:val="left"/>
        <w:rPr>
          <w:sz w:val="36"/>
        </w:rPr>
      </w:pPr>
      <w:r>
        <w:rPr>
          <w:sz w:val="36"/>
        </w:rPr>
        <w:t>保证施工质量及措施</w:t>
      </w:r>
    </w:p>
    <w:p>
      <w:pPr>
        <w:pStyle w:val="ListParagraph"/>
        <w:numPr>
          <w:ilvl w:val="0"/>
          <w:numId w:val="12"/>
        </w:numPr>
        <w:tabs>
          <w:tab w:val="left" w:pos="1043"/>
        </w:tabs>
        <w:spacing w:before="241" w:after="0" w:line="240" w:lineRule="auto"/>
        <w:ind w:left="1042" w:right="0" w:hanging="903"/>
        <w:jc w:val="left"/>
        <w:rPr>
          <w:sz w:val="36"/>
        </w:rPr>
      </w:pPr>
      <w:r>
        <w:rPr>
          <w:sz w:val="36"/>
        </w:rPr>
        <w:t>石头漆喷涂质量要求</w:t>
      </w:r>
    </w:p>
    <w:p>
      <w:pPr>
        <w:spacing w:before="240"/>
        <w:ind w:left="140" w:right="0" w:firstLine="0"/>
        <w:jc w:val="left"/>
        <w:rPr>
          <w:sz w:val="36"/>
        </w:rPr>
      </w:pPr>
      <w:r>
        <w:rPr>
          <w:sz w:val="36"/>
        </w:rPr>
        <w:t>（六）工程质量管理与控制</w:t>
      </w:r>
    </w:p>
    <w:p>
      <w:pPr>
        <w:spacing w:before="241" w:line="364" w:lineRule="auto"/>
        <w:ind w:left="501" w:right="1187" w:hanging="361"/>
        <w:jc w:val="left"/>
        <w:rPr>
          <w:sz w:val="36"/>
        </w:rPr>
      </w:pPr>
      <w:r>
        <w:rPr>
          <w:w w:val="95"/>
          <w:sz w:val="36"/>
        </w:rPr>
        <w:t>（</w:t>
      </w:r>
      <w:r>
        <w:rPr>
          <w:rFonts w:ascii="Cambria" w:eastAsia="Cambria"/>
          <w:w w:val="95"/>
          <w:sz w:val="36"/>
        </w:rPr>
        <w:t>1</w:t>
      </w:r>
      <w:r>
        <w:rPr>
          <w:w w:val="95"/>
          <w:sz w:val="36"/>
        </w:rPr>
        <w:t>）建立施工现场质量保证体系</w:t>
      </w:r>
      <w:r>
        <w:rPr>
          <w:sz w:val="36"/>
        </w:rPr>
        <w:t>六、竣工验收资料</w:t>
      </w:r>
    </w:p>
    <w:p>
      <w:pPr>
        <w:spacing w:after="0" w:line="364" w:lineRule="auto"/>
        <w:jc w:val="left"/>
        <w:rPr>
          <w:sz w:val="36"/>
        </w:rPr>
        <w:sectPr>
          <w:type w:val="continuous"/>
          <w:pgSz w:w="17860" w:h="25260"/>
          <w:pgMar w:top="1560" w:right="2200" w:bottom="280" w:left="2560" w:header="708" w:footer="708"/>
          <w:cols w:num="2" w:space="708" w:equalWidth="0">
            <w:col w:w="5941" w:space="608"/>
            <w:col w:w="6551"/>
          </w:cols>
        </w:sectPr>
      </w:pPr>
    </w:p>
    <w:p>
      <w:pPr>
        <w:pStyle w:val="BodyText"/>
        <w:ind w:left="0"/>
        <w:rPr>
          <w:sz w:val="20"/>
        </w:rPr>
      </w:pPr>
    </w:p>
    <w:p>
      <w:pPr>
        <w:pStyle w:val="BodyText"/>
        <w:ind w:left="0"/>
        <w:rPr>
          <w:sz w:val="20"/>
        </w:rPr>
      </w:pPr>
    </w:p>
    <w:p>
      <w:pPr>
        <w:spacing w:before="221"/>
        <w:ind w:left="137" w:right="0" w:firstLine="0"/>
        <w:jc w:val="both"/>
        <w:rPr>
          <w:b/>
          <w:sz w:val="42"/>
        </w:rPr>
      </w:pPr>
      <w:r>
        <w:rPr>
          <w:spacing w:val="68"/>
          <w:sz w:val="42"/>
        </w:rPr>
        <w:t xml:space="preserve">一、 </w:t>
      </w:r>
      <w:r>
        <w:rPr>
          <w:b/>
          <w:sz w:val="42"/>
        </w:rPr>
        <w:t>工程概况</w:t>
      </w:r>
    </w:p>
    <w:p>
      <w:pPr>
        <w:pStyle w:val="BodyText"/>
        <w:spacing w:before="1"/>
        <w:ind w:left="0"/>
        <w:rPr>
          <w:b/>
          <w:sz w:val="31"/>
        </w:rPr>
      </w:pPr>
    </w:p>
    <w:p>
      <w:pPr>
        <w:pStyle w:val="BodyText"/>
        <w:spacing w:line="417" w:lineRule="auto"/>
        <w:ind w:right="461"/>
        <w:jc w:val="both"/>
      </w:pPr>
      <w:r>
        <w:rPr>
          <w:rFonts w:ascii="Cambria" w:eastAsia="Cambria" w:hAnsi="Cambria"/>
        </w:rPr>
        <w:t>xx</w:t>
      </w:r>
      <w:r>
        <w:rPr>
          <w:rFonts w:ascii="Cambria" w:eastAsia="Cambria" w:hAnsi="Cambria"/>
          <w:spacing w:val="27"/>
        </w:rPr>
        <w:t xml:space="preserve"> </w:t>
      </w:r>
      <w:r>
        <w:rPr>
          <w:spacing w:val="5"/>
        </w:rPr>
        <w:t>吉泰龙广场——金碧辉煌大厦地处</w:t>
      </w:r>
      <w:r>
        <w:rPr>
          <w:rFonts w:ascii="Cambria" w:eastAsia="Cambria" w:hAnsi="Cambria"/>
        </w:rPr>
        <w:t>xx</w:t>
      </w:r>
      <w:r>
        <w:rPr>
          <w:rFonts w:ascii="Cambria" w:eastAsia="Cambria" w:hAnsi="Cambria"/>
          <w:spacing w:val="24"/>
        </w:rPr>
        <w:t xml:space="preserve"> </w:t>
      </w:r>
      <w:r>
        <w:rPr>
          <w:spacing w:val="34"/>
        </w:rPr>
        <w:t>金碧路</w:t>
      </w:r>
      <w:r>
        <w:rPr>
          <w:rFonts w:ascii="Cambria" w:eastAsia="Cambria" w:hAnsi="Cambria"/>
        </w:rPr>
        <w:t>B03</w:t>
      </w:r>
      <w:r>
        <w:rPr>
          <w:rFonts w:ascii="Cambria" w:eastAsia="Cambria" w:hAnsi="Cambria"/>
          <w:spacing w:val="20"/>
        </w:rPr>
        <w:t xml:space="preserve"> </w:t>
      </w:r>
      <w:r>
        <w:rPr>
          <w:spacing w:val="-17"/>
        </w:rPr>
        <w:t>地块，总建筑面</w:t>
      </w:r>
      <w:r>
        <w:rPr>
          <w:w w:val="95"/>
        </w:rPr>
        <w:t>积约</w:t>
      </w:r>
      <w:r>
        <w:rPr>
          <w:spacing w:val="215"/>
        </w:rPr>
        <w:t xml:space="preserve"> </w:t>
      </w:r>
      <w:r>
        <w:rPr>
          <w:rFonts w:ascii="Cambria" w:eastAsia="Cambria" w:hAnsi="Cambria"/>
          <w:w w:val="95"/>
        </w:rPr>
        <w:t>32422.36</w:t>
      </w:r>
      <w:r>
        <w:rPr>
          <w:rFonts w:ascii="Cambria" w:eastAsia="Cambria" w:hAnsi="Cambria"/>
          <w:spacing w:val="161"/>
        </w:rPr>
        <w:t xml:space="preserve"> </w:t>
      </w:r>
      <w:r>
        <w:rPr>
          <w:w w:val="95"/>
        </w:rPr>
        <w:t>㎡，分为商场、住宅和地下车库。其中一至四层为商</w:t>
      </w:r>
      <w:r>
        <w:rPr>
          <w:spacing w:val="-6"/>
          <w:w w:val="95"/>
        </w:rPr>
        <w:t xml:space="preserve">场，一至三层世界风情广场建筑面积为 </w:t>
      </w:r>
      <w:r>
        <w:rPr>
          <w:rFonts w:ascii="Cambria" w:eastAsia="Cambria" w:hAnsi="Cambria"/>
          <w:w w:val="95"/>
        </w:rPr>
        <w:t>14000</w:t>
      </w:r>
      <w:r>
        <w:rPr>
          <w:rFonts w:ascii="Cambria" w:eastAsia="Cambria" w:hAnsi="Cambria"/>
          <w:spacing w:val="26"/>
          <w:w w:val="95"/>
        </w:rPr>
        <w:t xml:space="preserve"> </w:t>
      </w:r>
      <w:r>
        <w:rPr>
          <w:w w:val="95"/>
        </w:rPr>
        <w:t>㎡。</w:t>
      </w:r>
    </w:p>
    <w:p>
      <w:pPr>
        <w:spacing w:after="0" w:line="417" w:lineRule="auto"/>
        <w:jc w:val="both"/>
        <w:sectPr>
          <w:type w:val="continuous"/>
          <w:pgSz w:w="17860" w:h="25260"/>
          <w:pgMar w:top="1560" w:right="2200" w:bottom="280" w:left="2560" w:header="708" w:footer="708"/>
          <w:cols w:space="708"/>
        </w:sectPr>
      </w:pPr>
    </w:p>
    <w:p>
      <w:pPr>
        <w:pStyle w:val="BodyText"/>
        <w:spacing w:before="12"/>
        <w:ind w:left="0"/>
        <w:rPr>
          <w:sz w:val="29"/>
        </w:rPr>
      </w:pPr>
    </w:p>
    <w:p>
      <w:pPr>
        <w:pStyle w:val="BodyText"/>
        <w:spacing w:before="53" w:line="417" w:lineRule="auto"/>
        <w:ind w:right="492"/>
        <w:jc w:val="both"/>
      </w:pPr>
      <w:r>
        <w:t>金碧辉煌世界风情广场装修工程部分包括：</w:t>
      </w:r>
      <w:r>
        <w:rPr>
          <w:rFonts w:ascii="Times New Roman" w:eastAsia="Times New Roman"/>
        </w:rPr>
        <w:t>GRC</w:t>
      </w:r>
      <w:r>
        <w:rPr>
          <w:rFonts w:ascii="Times New Roman" w:eastAsia="Times New Roman"/>
          <w:spacing w:val="34"/>
        </w:rPr>
        <w:t xml:space="preserve"> </w:t>
      </w:r>
      <w:r>
        <w:t>石柱、吊顶、木制作（门头、门楣、灯箱</w:t>
      </w:r>
      <w:r>
        <w:rPr>
          <w:spacing w:val="-196"/>
        </w:rPr>
        <w:t>）</w:t>
      </w:r>
      <w:r>
        <w:t>、电路排放、照明电器安装、地面地砖、油漆（仿真石漆、聚脂漆、乳胶漆）</w:t>
      </w:r>
    </w:p>
    <w:p>
      <w:pPr>
        <w:pStyle w:val="Heading2"/>
        <w:ind w:left="137" w:firstLine="0"/>
        <w:jc w:val="both"/>
      </w:pPr>
      <w:r>
        <w:rPr>
          <w:spacing w:val="12"/>
        </w:rPr>
        <w:t>二、 施工组织设计编制依据</w:t>
      </w:r>
    </w:p>
    <w:p>
      <w:pPr>
        <w:pStyle w:val="BodyText"/>
        <w:spacing w:before="1"/>
        <w:ind w:left="0"/>
        <w:rPr>
          <w:b/>
          <w:sz w:val="31"/>
        </w:rPr>
      </w:pPr>
    </w:p>
    <w:p>
      <w:pPr>
        <w:pStyle w:val="BodyText"/>
        <w:spacing w:line="417" w:lineRule="auto"/>
        <w:ind w:right="491"/>
        <w:rPr>
          <w:b/>
        </w:rPr>
      </w:pPr>
      <w:r>
        <w:rPr>
          <w:spacing w:val="-7"/>
        </w:rPr>
        <w:t>本施工组织设计是以联帮装饰设计工程公司设计的施工图纸和《室内</w:t>
      </w:r>
      <w:r>
        <w:t>装饰工程质量规范》为编制依据，结合本装修工程的特点编制的。</w:t>
      </w:r>
      <w:r>
        <w:rPr>
          <w:b/>
          <w:spacing w:val="21"/>
        </w:rPr>
        <w:t>三、 施工预备工作</w:t>
      </w:r>
    </w:p>
    <w:p>
      <w:pPr>
        <w:pStyle w:val="BodyText"/>
        <w:spacing w:line="538" w:lineRule="exact"/>
      </w:pPr>
      <w:r>
        <w:t>（一）施工采纳的规范、标准</w:t>
      </w:r>
    </w:p>
    <w:p>
      <w:pPr>
        <w:pStyle w:val="BodyText"/>
        <w:spacing w:before="1"/>
        <w:ind w:left="0"/>
        <w:rPr>
          <w:sz w:val="31"/>
        </w:rPr>
      </w:pPr>
    </w:p>
    <w:p>
      <w:pPr>
        <w:pStyle w:val="BodyText"/>
        <w:rPr>
          <w:rFonts w:ascii="Times New Roman" w:eastAsia="Times New Roman" w:hAnsi="Times New Roman"/>
        </w:rPr>
      </w:pPr>
      <w:r>
        <w:t>规范、标准《室内装饰工程质量规范》</w:t>
      </w:r>
      <w:r>
        <w:rPr>
          <w:rFonts w:ascii="Times New Roman" w:eastAsia="Times New Roman" w:hAnsi="Times New Roman"/>
        </w:rPr>
        <w:t>QB1838</w:t>
      </w:r>
      <w:r>
        <w:t>—</w:t>
      </w:r>
      <w:r>
        <w:rPr>
          <w:rFonts w:ascii="Times New Roman" w:eastAsia="Times New Roman" w:hAnsi="Times New Roman"/>
        </w:rPr>
        <w:t>93</w:t>
      </w:r>
    </w:p>
    <w:p>
      <w:pPr>
        <w:pStyle w:val="BodyText"/>
        <w:spacing w:before="7"/>
        <w:ind w:left="0"/>
        <w:rPr>
          <w:rFonts w:ascii="Times New Roman"/>
          <w:sz w:val="34"/>
        </w:rPr>
      </w:pPr>
    </w:p>
    <w:p>
      <w:pPr>
        <w:pStyle w:val="BodyText"/>
      </w:pPr>
      <w:r>
        <w:t>（二）施工组织机构及管理投入</w:t>
      </w:r>
    </w:p>
    <w:p>
      <w:pPr>
        <w:pStyle w:val="BodyText"/>
        <w:ind w:left="0"/>
        <w:rPr>
          <w:sz w:val="31"/>
        </w:rPr>
      </w:pPr>
    </w:p>
    <w:p>
      <w:pPr>
        <w:pStyle w:val="BodyText"/>
        <w:spacing w:line="417" w:lineRule="auto"/>
        <w:ind w:right="491"/>
      </w:pPr>
      <w:r>
        <w:rPr>
          <w:spacing w:val="-15"/>
        </w:rPr>
        <w:t>该施工队伍由项目部指挥部统筹，下设项目经理、施工管理人员</w:t>
      </w:r>
      <w:r>
        <w:rPr>
          <w:spacing w:val="-332"/>
        </w:rPr>
        <w:t>。</w:t>
      </w:r>
      <w:r>
        <w:t>（见金碧辉煌装修项目部施工管理员名单及组织图）</w:t>
      </w:r>
    </w:p>
    <w:p>
      <w:pPr>
        <w:pStyle w:val="BodyText"/>
      </w:pPr>
      <w:r>
        <w:t>（三）主要商铺装修工程量</w:t>
      </w:r>
    </w:p>
    <w:p>
      <w:pPr>
        <w:pStyle w:val="BodyText"/>
        <w:spacing w:before="1"/>
        <w:ind w:left="0"/>
        <w:rPr>
          <w:sz w:val="31"/>
        </w:rPr>
      </w:pPr>
    </w:p>
    <w:p>
      <w:pPr>
        <w:pStyle w:val="BodyText"/>
        <w:spacing w:line="417" w:lineRule="auto"/>
        <w:ind w:right="477"/>
      </w:pPr>
      <w:r>
        <w:rPr>
          <w:spacing w:val="-9"/>
        </w:rPr>
        <w:t xml:space="preserve">二层工程量总面积约为 </w:t>
      </w:r>
      <w:r>
        <w:rPr>
          <w:rFonts w:ascii="Times New Roman" w:eastAsia="Times New Roman"/>
        </w:rPr>
        <w:t>5000</w:t>
      </w:r>
      <w:r>
        <w:rPr>
          <w:rFonts w:ascii="Times New Roman" w:eastAsia="Times New Roman"/>
          <w:spacing w:val="25"/>
        </w:rPr>
        <w:t xml:space="preserve"> </w:t>
      </w:r>
      <w:r>
        <w:rPr>
          <w:spacing w:val="-12"/>
        </w:rPr>
        <w:t xml:space="preserve">㎡，商铺数量为 </w:t>
      </w:r>
      <w:r>
        <w:rPr>
          <w:rFonts w:ascii="Times New Roman" w:eastAsia="Times New Roman"/>
        </w:rPr>
        <w:t>191</w:t>
      </w:r>
      <w:r>
        <w:rPr>
          <w:rFonts w:ascii="Times New Roman" w:eastAsia="Times New Roman"/>
          <w:spacing w:val="24"/>
        </w:rPr>
        <w:t xml:space="preserve"> </w:t>
      </w:r>
      <w:r>
        <w:t>间；三层总面积约</w:t>
      </w:r>
      <w:r>
        <w:rPr>
          <w:spacing w:val="-53"/>
        </w:rPr>
        <w:t xml:space="preserve">为 </w:t>
      </w:r>
      <w:r>
        <w:rPr>
          <w:rFonts w:ascii="Times New Roman" w:eastAsia="Times New Roman"/>
        </w:rPr>
        <w:t xml:space="preserve">4500 </w:t>
      </w:r>
      <w:r>
        <w:rPr>
          <w:spacing w:val="-14"/>
        </w:rPr>
        <w:t xml:space="preserve">㎡，商铺数量为 </w:t>
      </w:r>
      <w:r>
        <w:rPr>
          <w:rFonts w:ascii="Times New Roman" w:eastAsia="Times New Roman"/>
        </w:rPr>
        <w:t>207</w:t>
      </w:r>
      <w:r>
        <w:rPr>
          <w:rFonts w:ascii="Times New Roman" w:eastAsia="Times New Roman"/>
          <w:spacing w:val="-2"/>
        </w:rPr>
        <w:t xml:space="preserve"> </w:t>
      </w:r>
      <w:r>
        <w:t>间。详细数量以概算书为准。</w:t>
      </w:r>
    </w:p>
    <w:p>
      <w:pPr>
        <w:pStyle w:val="BodyText"/>
        <w:spacing w:line="537" w:lineRule="exact"/>
      </w:pPr>
      <w:r>
        <w:t>（四）图纸会审和技术交底</w:t>
      </w:r>
    </w:p>
    <w:p>
      <w:pPr>
        <w:pStyle w:val="BodyText"/>
        <w:spacing w:before="1"/>
        <w:ind w:left="0"/>
        <w:rPr>
          <w:sz w:val="31"/>
        </w:rPr>
      </w:pPr>
    </w:p>
    <w:p>
      <w:pPr>
        <w:pStyle w:val="BodyText"/>
        <w:spacing w:line="417" w:lineRule="auto"/>
        <w:ind w:right="495"/>
      </w:pPr>
      <w:r>
        <w:rPr>
          <w:spacing w:val="-6"/>
        </w:rPr>
        <w:t>首先由设计工程师组织项目部技术人员和预算人员进行图纸内审，并</w:t>
      </w:r>
      <w:r>
        <w:t>提出书面疑问，在参加由项目部组织的设计交底和图纸会审。</w:t>
      </w:r>
    </w:p>
    <w:p>
      <w:pPr>
        <w:pStyle w:val="BodyText"/>
        <w:spacing w:line="417" w:lineRule="auto"/>
        <w:ind w:right="324"/>
        <w:jc w:val="both"/>
      </w:pPr>
      <w:r>
        <w:t>然后，由项目部负责收集、整理、打印图纸会审纪要，其内容应保证齐全、有效，经设计部门、现场指挥部、装修项目部签字（盖章）生效后，及时送发相关部门，并保存其原件。</w:t>
      </w:r>
    </w:p>
    <w:p>
      <w:pPr>
        <w:pStyle w:val="BodyText"/>
        <w:spacing w:line="537" w:lineRule="exact"/>
      </w:pPr>
      <w:r>
        <w:t>施工技术交底依据现场管理规定逐级交底。</w:t>
      </w:r>
    </w:p>
    <w:p>
      <w:pPr>
        <w:spacing w:after="0" w:line="537" w:lineRule="exact"/>
        <w:sectPr>
          <w:pgSz w:w="17860" w:h="25260"/>
          <w:pgMar w:top="1560" w:right="2200" w:bottom="280" w:left="2560" w:header="1160" w:footer="0"/>
          <w:cols w:space="708"/>
        </w:sectPr>
      </w:pPr>
    </w:p>
    <w:p>
      <w:pPr>
        <w:pStyle w:val="BodyText"/>
        <w:ind w:left="0"/>
        <w:rPr>
          <w:sz w:val="20"/>
        </w:rPr>
      </w:pPr>
    </w:p>
    <w:p>
      <w:pPr>
        <w:pStyle w:val="BodyText"/>
        <w:spacing w:before="181"/>
      </w:pPr>
      <w:r>
        <w:t>（五）现场勘测</w:t>
      </w:r>
    </w:p>
    <w:p>
      <w:pPr>
        <w:pStyle w:val="BodyText"/>
        <w:tabs>
          <w:tab w:val="left" w:pos="11126"/>
        </w:tabs>
        <w:spacing w:before="91" w:line="357" w:lineRule="auto"/>
        <w:ind w:right="467"/>
      </w:pPr>
      <w:r>
        <w:rPr>
          <w:w w:val="100"/>
        </w:rPr>
        <w:t>装修现场地面水平测量时，发觉后浇带的</w:t>
      </w:r>
      <w:r>
        <w:rPr>
          <w:spacing w:val="-112"/>
        </w:rPr>
        <w:t xml:space="preserve"> </w:t>
      </w:r>
      <w:r>
        <w:rPr>
          <w:spacing w:val="-432"/>
          <w:position w:val="10"/>
          <w:sz w:val="63"/>
        </w:rPr>
        <w:t>○</w:t>
      </w:r>
      <w:r>
        <w:rPr>
          <w:rFonts w:ascii="Cambria" w:eastAsia="Cambria" w:hAnsi="Cambria"/>
          <w:w w:val="103"/>
        </w:rPr>
        <w:t>F</w:t>
      </w:r>
      <w:r>
        <w:rPr>
          <w:rFonts w:ascii="Cambria" w:eastAsia="Cambria" w:hAnsi="Cambria"/>
        </w:rPr>
        <w:t xml:space="preserve"> </w:t>
      </w:r>
      <w:r>
        <w:rPr>
          <w:rFonts w:ascii="Cambria" w:eastAsia="Cambria" w:hAnsi="Cambria"/>
          <w:spacing w:val="16"/>
        </w:rPr>
        <w:t xml:space="preserve"> </w:t>
      </w:r>
      <w:r>
        <w:rPr>
          <w:spacing w:val="3"/>
          <w:w w:val="100"/>
        </w:rPr>
        <w:t>—</w:t>
      </w:r>
      <w:r>
        <w:rPr>
          <w:spacing w:val="-475"/>
          <w:position w:val="10"/>
          <w:sz w:val="63"/>
        </w:rPr>
        <w:t>○</w:t>
      </w:r>
      <w:r>
        <w:rPr>
          <w:rFonts w:ascii="Cambria" w:eastAsia="Cambria" w:hAnsi="Cambria"/>
          <w:w w:val="118"/>
          <w:position w:val="5"/>
          <w:sz w:val="48"/>
        </w:rPr>
        <w:t>C</w:t>
      </w:r>
      <w:r>
        <w:rPr>
          <w:rFonts w:ascii="Cambria" w:eastAsia="Cambria" w:hAnsi="Cambria"/>
          <w:position w:val="5"/>
          <w:sz w:val="48"/>
        </w:rPr>
        <w:t xml:space="preserve"> </w:t>
      </w:r>
      <w:r>
        <w:rPr>
          <w:rFonts w:ascii="Cambria" w:eastAsia="Cambria" w:hAnsi="Cambria"/>
          <w:spacing w:val="-49"/>
          <w:position w:val="5"/>
          <w:sz w:val="48"/>
        </w:rPr>
        <w:t xml:space="preserve"> </w:t>
      </w:r>
      <w:r>
        <w:rPr>
          <w:w w:val="99"/>
          <w:position w:val="5"/>
          <w:sz w:val="48"/>
        </w:rPr>
        <w:t>轴</w:t>
      </w:r>
      <w:r>
        <w:rPr>
          <w:spacing w:val="17"/>
          <w:w w:val="99"/>
          <w:position w:val="5"/>
          <w:sz w:val="48"/>
        </w:rPr>
        <w:t>至</w:t>
      </w:r>
      <w:r>
        <w:rPr>
          <w:spacing w:val="-399"/>
          <w:position w:val="10"/>
          <w:sz w:val="63"/>
        </w:rPr>
        <w:t>○</w:t>
      </w:r>
      <w:r>
        <w:rPr>
          <w:rFonts w:ascii="Cambria" w:eastAsia="Cambria" w:hAnsi="Cambria"/>
          <w:w w:val="127"/>
        </w:rPr>
        <w:t>J</w:t>
      </w:r>
      <w:r>
        <w:rPr>
          <w:rFonts w:ascii="Cambria" w:eastAsia="Cambria" w:hAnsi="Cambria"/>
        </w:rPr>
        <w:tab/>
      </w:r>
      <w:r>
        <w:rPr>
          <w:spacing w:val="3"/>
          <w:w w:val="100"/>
        </w:rPr>
        <w:t>—</w:t>
      </w:r>
      <w:r>
        <w:rPr>
          <w:spacing w:val="-422"/>
          <w:position w:val="10"/>
          <w:sz w:val="63"/>
        </w:rPr>
        <w:t>○</w:t>
      </w:r>
      <w:r>
        <w:rPr>
          <w:rFonts w:ascii="Cambria" w:eastAsia="Cambria" w:hAnsi="Cambria"/>
          <w:w w:val="90"/>
        </w:rPr>
        <w:t>2</w:t>
      </w:r>
      <w:r>
        <w:rPr>
          <w:rFonts w:ascii="Cambria" w:eastAsia="Cambria" w:hAnsi="Cambria"/>
        </w:rPr>
        <w:t xml:space="preserve"> </w:t>
      </w:r>
      <w:r>
        <w:rPr>
          <w:rFonts w:ascii="Cambria" w:eastAsia="Cambria" w:hAnsi="Cambria"/>
          <w:spacing w:val="32"/>
        </w:rPr>
        <w:t xml:space="preserve"> </w:t>
      </w:r>
      <w:r>
        <w:rPr>
          <w:w w:val="100"/>
        </w:rPr>
        <w:t>轴</w:t>
      </w:r>
      <w:r>
        <w:rPr>
          <w:w w:val="95"/>
        </w:rPr>
        <w:t>之间的水平高差为</w:t>
      </w:r>
      <w:r>
        <w:rPr>
          <w:spacing w:val="195"/>
          <w:w w:val="95"/>
        </w:rPr>
        <w:t xml:space="preserve"> </w:t>
      </w:r>
      <w:r>
        <w:rPr>
          <w:rFonts w:ascii="Cambria" w:eastAsia="Cambria" w:hAnsi="Cambria"/>
          <w:w w:val="95"/>
        </w:rPr>
        <w:t>60</w:t>
      </w:r>
      <w:r>
        <w:rPr>
          <w:rFonts w:ascii="Cambria" w:eastAsia="Cambria" w:hAnsi="Cambria"/>
          <w:spacing w:val="76"/>
          <w:w w:val="95"/>
        </w:rPr>
        <w:t xml:space="preserve"> </w:t>
      </w:r>
      <w:r>
        <w:rPr>
          <w:w w:val="95"/>
        </w:rPr>
        <w:t>㎜。因风管已经安装，风管经过走道最低的地</w:t>
      </w:r>
    </w:p>
    <w:p>
      <w:pPr>
        <w:pStyle w:val="BodyText"/>
        <w:spacing w:before="133" w:line="417" w:lineRule="auto"/>
        <w:ind w:right="324"/>
      </w:pPr>
      <w:r>
        <w:rPr>
          <w:spacing w:val="10"/>
          <w:w w:val="95"/>
        </w:rPr>
        <w:t xml:space="preserve">方 </w:t>
      </w:r>
      <w:r>
        <w:rPr>
          <w:rFonts w:ascii="Cambria" w:eastAsia="Cambria"/>
          <w:w w:val="95"/>
        </w:rPr>
        <w:t>2174</w:t>
      </w:r>
      <w:r>
        <w:rPr>
          <w:spacing w:val="-2"/>
          <w:w w:val="95"/>
        </w:rPr>
        <w:t xml:space="preserve">＃商铺附近实际距地面结构层为 </w:t>
      </w:r>
      <w:r>
        <w:rPr>
          <w:rFonts w:ascii="Cambria" w:eastAsia="Cambria"/>
          <w:w w:val="95"/>
        </w:rPr>
        <w:t>3220</w:t>
      </w:r>
      <w:r>
        <w:rPr>
          <w:rFonts w:ascii="Cambria" w:eastAsia="Cambria"/>
          <w:spacing w:val="46"/>
          <w:w w:val="95"/>
        </w:rPr>
        <w:t xml:space="preserve"> </w:t>
      </w:r>
      <w:r>
        <w:rPr>
          <w:w w:val="95"/>
        </w:rPr>
        <w:t>㎜，地面装修后距风管</w:t>
      </w:r>
      <w:r>
        <w:rPr>
          <w:spacing w:val="-3"/>
          <w:w w:val="95"/>
        </w:rPr>
        <w:t xml:space="preserve">高为 </w:t>
      </w:r>
      <w:r>
        <w:rPr>
          <w:rFonts w:ascii="Cambria" w:eastAsia="Cambria"/>
          <w:w w:val="95"/>
        </w:rPr>
        <w:t>3140</w:t>
      </w:r>
      <w:r>
        <w:rPr>
          <w:rFonts w:ascii="Cambria" w:eastAsia="Cambria"/>
          <w:spacing w:val="16"/>
          <w:w w:val="95"/>
        </w:rPr>
        <w:t xml:space="preserve"> </w:t>
      </w:r>
      <w:r>
        <w:rPr>
          <w:spacing w:val="-11"/>
          <w:w w:val="95"/>
        </w:rPr>
        <w:t xml:space="preserve">㎜，按施工图商铺立面从地到顶的高度为 </w:t>
      </w:r>
      <w:r>
        <w:rPr>
          <w:rFonts w:ascii="Cambria" w:eastAsia="Cambria"/>
          <w:w w:val="95"/>
        </w:rPr>
        <w:t>3100</w:t>
      </w:r>
      <w:r>
        <w:rPr>
          <w:rFonts w:ascii="Cambria" w:eastAsia="Cambria"/>
          <w:spacing w:val="93"/>
        </w:rPr>
        <w:t xml:space="preserve"> </w:t>
      </w:r>
      <w:r>
        <w:rPr>
          <w:spacing w:val="-14"/>
          <w:w w:val="95"/>
        </w:rPr>
        <w:t>㎜，筒灯及</w:t>
      </w:r>
      <w:r>
        <w:rPr>
          <w:spacing w:val="-2"/>
          <w:w w:val="95"/>
        </w:rPr>
        <w:t xml:space="preserve">格栅灯的安装间距只剩 </w:t>
      </w:r>
      <w:r>
        <w:rPr>
          <w:rFonts w:ascii="Cambria" w:eastAsia="Cambria"/>
          <w:w w:val="95"/>
        </w:rPr>
        <w:t>40</w:t>
      </w:r>
      <w:r>
        <w:rPr>
          <w:rFonts w:ascii="Cambria" w:eastAsia="Cambria"/>
          <w:spacing w:val="114"/>
        </w:rPr>
        <w:t xml:space="preserve"> </w:t>
      </w:r>
      <w:r>
        <w:rPr>
          <w:spacing w:val="-10"/>
          <w:w w:val="95"/>
        </w:rPr>
        <w:t xml:space="preserve">㎜，筒灯和格栅灯的厚度为 </w:t>
      </w:r>
      <w:r>
        <w:rPr>
          <w:rFonts w:ascii="Cambria" w:eastAsia="Cambria"/>
          <w:w w:val="95"/>
        </w:rPr>
        <w:t>95</w:t>
      </w:r>
      <w:r>
        <w:rPr>
          <w:rFonts w:ascii="Cambria" w:eastAsia="Cambria"/>
          <w:spacing w:val="114"/>
        </w:rPr>
        <w:t xml:space="preserve"> </w:t>
      </w:r>
      <w:r>
        <w:rPr>
          <w:spacing w:val="-14"/>
          <w:w w:val="95"/>
        </w:rPr>
        <w:t>㎜，无法安</w:t>
      </w:r>
      <w:r>
        <w:t>装筒灯及格栅灯，因此原设计已无法满足现有状况。经与设计协商，</w:t>
      </w:r>
      <w:r>
        <w:rPr>
          <w:spacing w:val="-207"/>
        </w:rPr>
        <w:t xml:space="preserve"> </w:t>
      </w:r>
      <w:r>
        <w:t>如视沉降稳定，按现状不调整风管高度而进行装修，则二、三层商铺</w:t>
      </w:r>
      <w:r>
        <w:rPr>
          <w:spacing w:val="2"/>
          <w:w w:val="95"/>
        </w:rPr>
        <w:t xml:space="preserve">的整体高度应作适当调整。调整结果为柱子总体高度下降 </w:t>
      </w:r>
      <w:r>
        <w:rPr>
          <w:rFonts w:ascii="Cambria" w:eastAsia="Cambria"/>
          <w:w w:val="95"/>
        </w:rPr>
        <w:t>60</w:t>
      </w:r>
      <w:r>
        <w:rPr>
          <w:rFonts w:ascii="Cambria" w:eastAsia="Cambria"/>
          <w:spacing w:val="258"/>
        </w:rPr>
        <w:t xml:space="preserve"> </w:t>
      </w:r>
      <w:r>
        <w:rPr>
          <w:w w:val="95"/>
        </w:rPr>
        <w:t>㎜，灯箱</w:t>
      </w:r>
      <w:r>
        <w:rPr>
          <w:spacing w:val="-24"/>
          <w:w w:val="95"/>
        </w:rPr>
        <w:t xml:space="preserve">压缩为 </w:t>
      </w:r>
      <w:r>
        <w:rPr>
          <w:rFonts w:ascii="Cambria" w:eastAsia="Cambria"/>
          <w:w w:val="95"/>
        </w:rPr>
        <w:t>60</w:t>
      </w:r>
      <w:r>
        <w:rPr>
          <w:rFonts w:ascii="Cambria" w:eastAsia="Cambria"/>
          <w:spacing w:val="20"/>
          <w:w w:val="95"/>
        </w:rPr>
        <w:t xml:space="preserve"> </w:t>
      </w:r>
      <w:r>
        <w:rPr>
          <w:w w:val="95"/>
        </w:rPr>
        <w:t>㎜，门楣高度不变。</w:t>
      </w:r>
    </w:p>
    <w:p>
      <w:pPr>
        <w:pStyle w:val="BodyText"/>
        <w:spacing w:line="417" w:lineRule="auto"/>
        <w:ind w:right="324"/>
      </w:pPr>
      <w:r>
        <w:t>发觉局部柱子尺寸偏大，按图纸无法施工。则依据现场情况，现场调整。</w:t>
      </w:r>
    </w:p>
    <w:p>
      <w:pPr>
        <w:pStyle w:val="BodyText"/>
      </w:pPr>
      <w:r>
        <w:t>（六）各专业之间的协作关系</w:t>
      </w:r>
    </w:p>
    <w:p>
      <w:pPr>
        <w:pStyle w:val="BodyText"/>
        <w:spacing w:before="12"/>
        <w:ind w:left="0"/>
        <w:rPr>
          <w:sz w:val="30"/>
        </w:rPr>
      </w:pPr>
    </w:p>
    <w:p>
      <w:pPr>
        <w:pStyle w:val="BodyText"/>
        <w:spacing w:line="417" w:lineRule="auto"/>
        <w:ind w:right="491"/>
      </w:pPr>
      <w:r>
        <w:rPr>
          <w:spacing w:val="-7"/>
        </w:rPr>
        <w:t>各专业之间的施工协作在满足总体施工进度规划的前提下；各专业之</w:t>
      </w:r>
      <w:r>
        <w:t>间在不影响各施工工序的情况下进行交叉施工。如下：</w:t>
      </w:r>
    </w:p>
    <w:p>
      <w:pPr>
        <w:pStyle w:val="Heading2"/>
        <w:ind w:left="137" w:firstLine="0"/>
      </w:pPr>
      <w:r>
        <w:rPr>
          <w:spacing w:val="21"/>
        </w:rPr>
        <w:t>四、 现场管理措施</w:t>
      </w:r>
    </w:p>
    <w:p>
      <w:pPr>
        <w:pStyle w:val="BodyText"/>
        <w:spacing w:before="1"/>
        <w:ind w:left="0"/>
        <w:rPr>
          <w:b/>
          <w:sz w:val="31"/>
        </w:rPr>
      </w:pPr>
    </w:p>
    <w:p>
      <w:pPr>
        <w:pStyle w:val="ListParagraph"/>
        <w:numPr>
          <w:ilvl w:val="1"/>
          <w:numId w:val="11"/>
        </w:numPr>
        <w:tabs>
          <w:tab w:val="left" w:pos="767"/>
        </w:tabs>
        <w:spacing w:before="0" w:after="0" w:line="240" w:lineRule="auto"/>
        <w:ind w:left="767" w:right="0" w:hanging="630"/>
        <w:jc w:val="left"/>
        <w:rPr>
          <w:b/>
          <w:sz w:val="42"/>
        </w:rPr>
      </w:pPr>
      <w:r>
        <w:rPr>
          <w:b/>
          <w:w w:val="95"/>
          <w:sz w:val="42"/>
        </w:rPr>
        <w:t>标准化工作</w:t>
      </w:r>
    </w:p>
    <w:p>
      <w:pPr>
        <w:pStyle w:val="BodyText"/>
        <w:spacing w:before="398" w:line="417" w:lineRule="auto"/>
        <w:ind w:right="476"/>
      </w:pPr>
      <w:r>
        <w:t>现场施工质量不仅应由直接参加施工的人员依据质量标准来保证做</w:t>
      </w:r>
      <w:r>
        <w:rPr>
          <w:spacing w:val="-14"/>
        </w:rPr>
        <w:t>到施工操作标准化，施工管理标准化，而且必需使现场所有影响工程</w:t>
      </w:r>
      <w:r>
        <w:rPr>
          <w:spacing w:val="-10"/>
        </w:rPr>
        <w:t>质量的因素和工作都要实现标准化。按质量保证模式和本工程质量保</w:t>
      </w:r>
      <w:r>
        <w:t>证规划要求做到施工质量标准化管理。</w:t>
      </w:r>
    </w:p>
    <w:p>
      <w:pPr>
        <w:pStyle w:val="Heading2"/>
        <w:numPr>
          <w:ilvl w:val="1"/>
          <w:numId w:val="11"/>
        </w:numPr>
        <w:tabs>
          <w:tab w:val="left" w:pos="767"/>
        </w:tabs>
        <w:spacing w:before="0" w:after="0" w:line="538" w:lineRule="exact"/>
        <w:ind w:left="767" w:right="0" w:hanging="630"/>
        <w:jc w:val="left"/>
      </w:pPr>
      <w:r>
        <w:rPr>
          <w:w w:val="95"/>
        </w:rPr>
        <w:t>表格化管理</w:t>
      </w:r>
    </w:p>
    <w:p>
      <w:pPr>
        <w:spacing w:after="0" w:line="538" w:lineRule="exact"/>
        <w:jc w:val="left"/>
        <w:sectPr>
          <w:pgSz w:w="17860" w:h="25260"/>
          <w:pgMar w:top="1560" w:right="2200" w:bottom="280" w:left="2560" w:header="1160" w:footer="0"/>
          <w:cols w:space="708"/>
        </w:sectPr>
      </w:pPr>
    </w:p>
    <w:p>
      <w:pPr>
        <w:pStyle w:val="BodyText"/>
        <w:ind w:left="0"/>
        <w:rPr>
          <w:b/>
          <w:sz w:val="20"/>
        </w:rPr>
      </w:pPr>
    </w:p>
    <w:p>
      <w:pPr>
        <w:pStyle w:val="BodyText"/>
        <w:spacing w:before="181" w:line="417" w:lineRule="auto"/>
        <w:ind w:right="324"/>
        <w:jc w:val="both"/>
      </w:pPr>
      <w:r>
        <w:t>在现场管理工作中，工程项目部与材料部、施工队、指挥部及监理之间应实行表格化的管理。施工经过当中各个工序之间的表格化管理；</w:t>
      </w:r>
      <w:r>
        <w:rPr>
          <w:spacing w:val="-208"/>
        </w:rPr>
        <w:t xml:space="preserve"> </w:t>
      </w:r>
      <w:r>
        <w:t>材料的表格化管理；分部工程的验收表格化管理</w:t>
      </w:r>
      <w:r>
        <w:rPr>
          <w:spacing w:val="-239"/>
        </w:rPr>
        <w:t>。</w:t>
      </w:r>
      <w:r>
        <w:t>（详见各表格）</w:t>
      </w:r>
    </w:p>
    <w:p>
      <w:pPr>
        <w:pStyle w:val="Heading2"/>
        <w:numPr>
          <w:ilvl w:val="1"/>
          <w:numId w:val="11"/>
        </w:numPr>
        <w:tabs>
          <w:tab w:val="left" w:pos="767"/>
        </w:tabs>
        <w:spacing w:before="0" w:after="0" w:line="537" w:lineRule="exact"/>
        <w:ind w:left="767" w:right="0" w:hanging="630"/>
        <w:jc w:val="left"/>
      </w:pPr>
      <w:r>
        <w:rPr>
          <w:w w:val="95"/>
        </w:rPr>
        <w:t>现场质量施工管理体系</w:t>
      </w:r>
    </w:p>
    <w:p>
      <w:pPr>
        <w:pStyle w:val="BodyText"/>
        <w:spacing w:before="398" w:line="417" w:lineRule="auto"/>
        <w:ind w:right="472"/>
      </w:pPr>
      <w:r>
        <w:t>结合工程的特点和施工现场情况，建立现场质量制度和质量保证体</w:t>
      </w:r>
      <w:r>
        <w:rPr>
          <w:spacing w:val="-14"/>
        </w:rPr>
        <w:t>系，编制工程项目质量保证规划，在工程建设经过中认真贯彻执行国家《建设工程质量管理条例》，贯彻金碧辉煌装修工程质量方针。从</w:t>
      </w:r>
      <w:r>
        <w:t>而使工程目标和措施得到保证。</w:t>
      </w:r>
    </w:p>
    <w:p>
      <w:pPr>
        <w:pStyle w:val="BodyText"/>
        <w:spacing w:line="417" w:lineRule="auto"/>
        <w:ind w:right="324"/>
      </w:pPr>
      <w:r>
        <w:rPr>
          <w:rFonts w:ascii="Arial Narrow" w:eastAsia="Arial Narrow" w:hAnsi="Arial Narrow"/>
        </w:rPr>
        <w:t>1.</w:t>
      </w:r>
      <w:r>
        <w:t>质量责任制 贯彻“谁施工谁就负责质量、谁就负责安全，谁就负</w:t>
      </w:r>
      <w:r>
        <w:rPr>
          <w:spacing w:val="-13"/>
        </w:rPr>
        <w:t>责文明施工”的方针，施工现场质量责任制要求在施工现场的各类人</w:t>
      </w:r>
      <w:r>
        <w:t>员各司其职、自我把关、人尽其责，做到按图施工、按工艺操作、按</w:t>
      </w:r>
      <w:r>
        <w:rPr>
          <w:spacing w:val="-13"/>
        </w:rPr>
        <w:t>制度办事、保证本岗位不将不合格产品流向下一道工序，对自己参加</w:t>
      </w:r>
      <w:r>
        <w:rPr>
          <w:spacing w:val="-10"/>
        </w:rPr>
        <w:t>的工序和工程的施工质量负责究竟。为此项目部制定了每个管理人员</w:t>
      </w:r>
      <w:r>
        <w:t>的职责：</w:t>
      </w:r>
    </w:p>
    <w:p>
      <w:pPr>
        <w:pStyle w:val="BodyText"/>
        <w:spacing w:line="537" w:lineRule="exact"/>
      </w:pPr>
      <w:r>
        <w:t>工地项目经理：刘屹</w:t>
      </w:r>
    </w:p>
    <w:p>
      <w:pPr>
        <w:pStyle w:val="BodyText"/>
        <w:ind w:left="0"/>
        <w:rPr>
          <w:sz w:val="31"/>
        </w:rPr>
      </w:pPr>
    </w:p>
    <w:p>
      <w:pPr>
        <w:pStyle w:val="BodyText"/>
      </w:pPr>
      <w:r>
        <w:t>职责范围：总体协调指挥</w:t>
      </w:r>
    </w:p>
    <w:p>
      <w:pPr>
        <w:pStyle w:val="BodyText"/>
        <w:ind w:left="0"/>
        <w:rPr>
          <w:sz w:val="31"/>
        </w:rPr>
      </w:pPr>
    </w:p>
    <w:p>
      <w:pPr>
        <w:pStyle w:val="BodyText"/>
        <w:spacing w:before="1"/>
      </w:pPr>
      <w:r>
        <w:rPr>
          <w:spacing w:val="-10"/>
        </w:rPr>
        <w:t>① 对项目部每日布置的任务进行考核、评估。</w:t>
      </w:r>
    </w:p>
    <w:p>
      <w:pPr>
        <w:pStyle w:val="BodyText"/>
        <w:ind w:left="0"/>
        <w:rPr>
          <w:sz w:val="31"/>
        </w:rPr>
      </w:pPr>
    </w:p>
    <w:p>
      <w:pPr>
        <w:pStyle w:val="BodyText"/>
        <w:spacing w:line="417" w:lineRule="auto"/>
        <w:ind w:left="676" w:right="628" w:hanging="540"/>
      </w:pPr>
      <w:r>
        <w:rPr>
          <w:spacing w:val="-9"/>
        </w:rPr>
        <w:t>② 每日检查工程部管理人员工作情况及工作情况考核表并向金碧辉</w:t>
      </w:r>
      <w:r>
        <w:t>煌指挥部汇报每日工作内容及项目部管理人员的考核情况。</w:t>
      </w:r>
    </w:p>
    <w:p>
      <w:pPr>
        <w:pStyle w:val="BodyText"/>
        <w:spacing w:before="1"/>
      </w:pPr>
      <w:r>
        <w:rPr>
          <w:spacing w:val="-10"/>
        </w:rPr>
        <w:t>③ 协调好各部门和各工种的协作。</w:t>
      </w:r>
    </w:p>
    <w:p>
      <w:pPr>
        <w:pStyle w:val="BodyText"/>
        <w:ind w:left="0"/>
        <w:rPr>
          <w:sz w:val="31"/>
        </w:rPr>
      </w:pPr>
    </w:p>
    <w:p>
      <w:pPr>
        <w:pStyle w:val="BodyText"/>
        <w:spacing w:line="417" w:lineRule="auto"/>
        <w:ind w:left="676" w:right="628" w:hanging="540"/>
      </w:pPr>
      <w:r>
        <w:rPr>
          <w:spacing w:val="-9"/>
        </w:rPr>
        <w:t>④ 控制好施工中工程进度和施工程序，在保证施工质量的前提下把握</w:t>
      </w:r>
      <w:r>
        <w:t>好施工进度，保质﹑保时的完成工程。</w:t>
      </w:r>
    </w:p>
    <w:p>
      <w:pPr>
        <w:spacing w:after="0" w:line="417" w:lineRule="auto"/>
        <w:sectPr>
          <w:pgSz w:w="17860" w:h="25260"/>
          <w:pgMar w:top="1560" w:right="2200" w:bottom="280" w:left="2560" w:header="1160" w:footer="0"/>
          <w:cols w:space="708"/>
        </w:sectPr>
      </w:pPr>
    </w:p>
    <w:p>
      <w:pPr>
        <w:pStyle w:val="BodyText"/>
        <w:ind w:left="0"/>
        <w:rPr>
          <w:sz w:val="20"/>
        </w:rPr>
      </w:pPr>
    </w:p>
    <w:p>
      <w:pPr>
        <w:pStyle w:val="BodyText"/>
        <w:spacing w:before="181" w:line="417" w:lineRule="auto"/>
        <w:ind w:left="676" w:right="628" w:hanging="540"/>
        <w:jc w:val="both"/>
      </w:pPr>
      <w:r>
        <w:rPr>
          <w:spacing w:val="-9"/>
        </w:rPr>
        <w:t>⑤ 对工地所需主材数量和材料的质量进行严格把关，避开材料浪费</w:t>
      </w:r>
      <w:r>
        <w:t>和劣质材料流入工地。</w:t>
      </w:r>
    </w:p>
    <w:p>
      <w:pPr>
        <w:pStyle w:val="BodyText"/>
        <w:spacing w:line="417" w:lineRule="auto"/>
        <w:ind w:left="676" w:right="628" w:hanging="540"/>
        <w:jc w:val="both"/>
      </w:pPr>
      <w:r>
        <w:rPr>
          <w:spacing w:val="-9"/>
        </w:rPr>
        <w:t>⑥ 项目经理应熟悉施工图、施工工艺及施工流程，能在工地及时发觉</w:t>
      </w:r>
      <w:r>
        <w:t>工程中出现的错误，进行及时纠正，做到当场发觉问题，现场解决问题。</w:t>
      </w:r>
    </w:p>
    <w:p>
      <w:pPr>
        <w:pStyle w:val="BodyText"/>
        <w:spacing w:line="417" w:lineRule="auto"/>
        <w:ind w:left="676" w:right="628" w:hanging="540"/>
        <w:jc w:val="both"/>
      </w:pPr>
      <w:r>
        <w:rPr>
          <w:spacing w:val="-9"/>
        </w:rPr>
        <w:t>⑦ 对施工经过中的完成质量进行严格把关，保证工程质量。认真严</w:t>
      </w:r>
      <w:r>
        <w:t>格制定工程规划，严格管理，合理布置。</w:t>
      </w:r>
    </w:p>
    <w:p>
      <w:pPr>
        <w:pStyle w:val="BodyText"/>
        <w:jc w:val="both"/>
      </w:pPr>
      <w:r>
        <w:rPr>
          <w:spacing w:val="-10"/>
        </w:rPr>
        <w:t>⑧ 认真组织落实施工，做好工地安全隐患的预防工作。</w:t>
      </w:r>
    </w:p>
    <w:p>
      <w:pPr>
        <w:pStyle w:val="BodyText"/>
        <w:spacing w:before="12"/>
        <w:ind w:left="0"/>
        <w:rPr>
          <w:sz w:val="30"/>
        </w:rPr>
      </w:pPr>
    </w:p>
    <w:p>
      <w:pPr>
        <w:pStyle w:val="BodyText"/>
        <w:spacing w:line="417" w:lineRule="auto"/>
        <w:ind w:left="676" w:right="628" w:hanging="540"/>
        <w:jc w:val="both"/>
      </w:pPr>
      <w:r>
        <w:rPr>
          <w:spacing w:val="-9"/>
        </w:rPr>
        <w:t>⑨ 对待易产生安全隐患的问题应及时书面通知施工人员，避开造成</w:t>
      </w:r>
      <w:r>
        <w:t>人员伤亡和公司的经济损失。</w:t>
      </w:r>
    </w:p>
    <w:p>
      <w:pPr>
        <w:pStyle w:val="BodyText"/>
        <w:spacing w:line="537" w:lineRule="exact"/>
        <w:jc w:val="both"/>
      </w:pPr>
      <w:r>
        <w:rPr>
          <w:spacing w:val="-10"/>
        </w:rPr>
        <w:t>⑩ 监督、督促部门人员做好公司资料保管工作。</w:t>
      </w:r>
    </w:p>
    <w:p>
      <w:pPr>
        <w:pStyle w:val="BodyText"/>
        <w:spacing w:before="10"/>
        <w:ind w:left="0"/>
        <w:rPr>
          <w:sz w:val="27"/>
        </w:rPr>
      </w:pPr>
    </w:p>
    <w:p>
      <w:pPr>
        <w:pStyle w:val="BodyText"/>
        <w:spacing w:before="42"/>
      </w:pPr>
      <w:r>
        <w:rPr>
          <w:spacing w:val="-350"/>
          <w:w w:val="100"/>
        </w:rPr>
        <w:t>○</w:t>
      </w:r>
      <w:r>
        <w:rPr>
          <w:rFonts w:ascii="Arial Narrow" w:eastAsia="Arial Narrow" w:hAnsi="Arial Narrow"/>
          <w:w w:val="109"/>
          <w:position w:val="-6"/>
          <w:sz w:val="29"/>
        </w:rPr>
        <w:t>11</w:t>
      </w:r>
      <w:r>
        <w:rPr>
          <w:rFonts w:ascii="Arial Narrow" w:eastAsia="Arial Narrow" w:hAnsi="Arial Narrow"/>
          <w:spacing w:val="-8"/>
          <w:position w:val="-6"/>
          <w:sz w:val="29"/>
        </w:rPr>
        <w:t xml:space="preserve"> </w:t>
      </w:r>
      <w:r>
        <w:rPr>
          <w:w w:val="100"/>
        </w:rPr>
        <w:t>督促、指导组织严格按工艺流程和安全技术操作，制止违规操作，</w:t>
      </w:r>
    </w:p>
    <w:p>
      <w:pPr>
        <w:pStyle w:val="BodyText"/>
        <w:spacing w:before="10"/>
        <w:ind w:left="0"/>
        <w:rPr>
          <w:sz w:val="26"/>
        </w:rPr>
      </w:pPr>
    </w:p>
    <w:p>
      <w:pPr>
        <w:pStyle w:val="BodyText"/>
        <w:spacing w:before="42"/>
        <w:ind w:left="558"/>
      </w:pPr>
      <w:r>
        <w:t>保证工程质量。</w:t>
      </w:r>
    </w:p>
    <w:p>
      <w:pPr>
        <w:pStyle w:val="BodyText"/>
        <w:spacing w:before="1"/>
        <w:ind w:left="0"/>
        <w:rPr>
          <w:sz w:val="31"/>
        </w:rPr>
      </w:pPr>
    </w:p>
    <w:p>
      <w:pPr>
        <w:pStyle w:val="BodyText"/>
      </w:pPr>
      <w:r>
        <w:t>管理人员：贺文涛、李杨红</w:t>
      </w:r>
    </w:p>
    <w:p>
      <w:pPr>
        <w:pStyle w:val="BodyText"/>
        <w:ind w:left="0"/>
        <w:rPr>
          <w:sz w:val="31"/>
        </w:rPr>
      </w:pPr>
    </w:p>
    <w:p>
      <w:pPr>
        <w:pStyle w:val="BodyText"/>
      </w:pPr>
      <w:r>
        <w:t>职责范围：工程现场管理、协调</w:t>
      </w:r>
    </w:p>
    <w:p>
      <w:pPr>
        <w:pStyle w:val="BodyText"/>
        <w:spacing w:before="1"/>
        <w:ind w:left="0"/>
        <w:rPr>
          <w:sz w:val="31"/>
        </w:rPr>
      </w:pPr>
    </w:p>
    <w:p>
      <w:pPr>
        <w:pStyle w:val="BodyText"/>
        <w:spacing w:line="417" w:lineRule="auto"/>
        <w:ind w:left="676" w:right="628" w:hanging="540"/>
      </w:pPr>
      <w:r>
        <w:rPr>
          <w:spacing w:val="-9"/>
        </w:rPr>
        <w:t>① 对项目部所布置任务当日完成，对当日所发生的问题当日解决，</w:t>
      </w:r>
      <w:r>
        <w:rPr>
          <w:spacing w:val="-207"/>
        </w:rPr>
        <w:t xml:space="preserve"> </w:t>
      </w:r>
      <w:r>
        <w:t>决不拖到第二天。</w:t>
      </w:r>
    </w:p>
    <w:p>
      <w:pPr>
        <w:pStyle w:val="BodyText"/>
        <w:spacing w:line="537" w:lineRule="exact"/>
      </w:pPr>
      <w:r>
        <w:rPr>
          <w:spacing w:val="-10"/>
        </w:rPr>
        <w:t>② 对待有格外原因不能处理的问题需上报金碧辉煌指挥部。</w:t>
      </w:r>
    </w:p>
    <w:p>
      <w:pPr>
        <w:pStyle w:val="BodyText"/>
        <w:spacing w:before="2"/>
        <w:ind w:left="0"/>
        <w:rPr>
          <w:sz w:val="31"/>
        </w:rPr>
      </w:pPr>
    </w:p>
    <w:p>
      <w:pPr>
        <w:pStyle w:val="BodyText"/>
        <w:spacing w:line="417" w:lineRule="auto"/>
        <w:ind w:left="676" w:right="628" w:hanging="540"/>
      </w:pPr>
      <w:r>
        <w:rPr>
          <w:spacing w:val="-9"/>
        </w:rPr>
        <w:t>③ 控制好施工中工程进度和施工程序，在保证施工质量的前提下把握</w:t>
      </w:r>
      <w:r>
        <w:t>好施工进度，保质﹑保时的完成工程。</w:t>
      </w:r>
    </w:p>
    <w:p>
      <w:pPr>
        <w:pStyle w:val="BodyText"/>
        <w:spacing w:line="417" w:lineRule="auto"/>
        <w:ind w:left="676" w:right="628" w:hanging="540"/>
      </w:pPr>
      <w:r>
        <w:rPr>
          <w:spacing w:val="-9"/>
        </w:rPr>
        <w:t>④ 管理人员应熟悉施工图、施工工艺及施工流程，能在工地及时发觉</w:t>
      </w:r>
      <w:r>
        <w:t>工程中出现的错误，进行及时纠正，做到当场发觉问题，现场</w:t>
      </w:r>
    </w:p>
    <w:p>
      <w:pPr>
        <w:spacing w:after="0" w:line="417" w:lineRule="auto"/>
        <w:sectPr>
          <w:pgSz w:w="17860" w:h="25260"/>
          <w:pgMar w:top="1560" w:right="2200" w:bottom="280" w:left="2560" w:header="1160" w:footer="0"/>
          <w:cols w:space="708"/>
        </w:sectPr>
      </w:pPr>
    </w:p>
    <w:p>
      <w:pPr>
        <w:pStyle w:val="BodyText"/>
        <w:ind w:left="0"/>
        <w:rPr>
          <w:sz w:val="20"/>
        </w:rPr>
      </w:pPr>
    </w:p>
    <w:p>
      <w:pPr>
        <w:pStyle w:val="BodyText"/>
        <w:spacing w:before="181"/>
        <w:ind w:left="676"/>
      </w:pPr>
      <w:r>
        <w:t>解决问题。</w:t>
      </w:r>
    </w:p>
    <w:p>
      <w:pPr>
        <w:pStyle w:val="BodyText"/>
        <w:ind w:left="0"/>
        <w:rPr>
          <w:sz w:val="31"/>
        </w:rPr>
      </w:pPr>
    </w:p>
    <w:p>
      <w:pPr>
        <w:pStyle w:val="BodyText"/>
      </w:pPr>
      <w:r>
        <w:rPr>
          <w:spacing w:val="-8"/>
        </w:rPr>
        <w:t>⑤ 对施工经过中的完成质量进行严格把关，保证工程质量。</w:t>
      </w:r>
    </w:p>
    <w:p>
      <w:pPr>
        <w:pStyle w:val="BodyText"/>
        <w:spacing w:before="1"/>
        <w:ind w:left="0"/>
        <w:rPr>
          <w:sz w:val="31"/>
        </w:rPr>
      </w:pPr>
    </w:p>
    <w:p>
      <w:pPr>
        <w:pStyle w:val="BodyText"/>
      </w:pPr>
      <w:r>
        <w:rPr>
          <w:spacing w:val="-8"/>
        </w:rPr>
        <w:t>⑥ 在工地管理中能结合工程设计与实际完成效果存优弃劣。</w:t>
      </w:r>
    </w:p>
    <w:p>
      <w:pPr>
        <w:pStyle w:val="BodyText"/>
        <w:spacing w:before="1"/>
        <w:ind w:left="0"/>
        <w:rPr>
          <w:sz w:val="31"/>
        </w:rPr>
      </w:pPr>
    </w:p>
    <w:p>
      <w:pPr>
        <w:pStyle w:val="BodyText"/>
        <w:spacing w:line="417" w:lineRule="auto"/>
        <w:ind w:left="676" w:right="628" w:hanging="540"/>
      </w:pPr>
      <w:r>
        <w:rPr>
          <w:spacing w:val="-10"/>
        </w:rPr>
        <w:t>⑦ 对工地上的辅材</w:t>
      </w:r>
      <w:r>
        <w:t>（如：钉子．胶水．合页等）所需数量做到心中有数，在施工中用多少﹑领多少﹑削减不必要的浪费。</w:t>
      </w:r>
    </w:p>
    <w:p>
      <w:pPr>
        <w:pStyle w:val="BodyText"/>
        <w:spacing w:line="537" w:lineRule="exact"/>
      </w:pPr>
      <w:r>
        <w:rPr>
          <w:spacing w:val="-10"/>
        </w:rPr>
        <w:t>⑧ 杜绝工地上的偷盗行为，做好工人的管理工作。</w:t>
      </w:r>
    </w:p>
    <w:p>
      <w:pPr>
        <w:pStyle w:val="BodyText"/>
        <w:spacing w:before="1"/>
        <w:ind w:left="0"/>
        <w:rPr>
          <w:sz w:val="31"/>
        </w:rPr>
      </w:pPr>
    </w:p>
    <w:p>
      <w:pPr>
        <w:pStyle w:val="BodyText"/>
      </w:pPr>
      <w:r>
        <w:rPr>
          <w:spacing w:val="-10"/>
        </w:rPr>
        <w:t>⑨ 对工地上可能存在的安全隐患</w:t>
      </w:r>
      <w:r>
        <w:t>（水﹑火等）做到防患于未然。</w:t>
      </w:r>
    </w:p>
    <w:p>
      <w:pPr>
        <w:pStyle w:val="BodyText"/>
        <w:spacing w:before="1"/>
        <w:ind w:left="0"/>
        <w:rPr>
          <w:sz w:val="31"/>
        </w:rPr>
      </w:pPr>
    </w:p>
    <w:p>
      <w:pPr>
        <w:pStyle w:val="BodyText"/>
      </w:pPr>
      <w:r>
        <w:rPr>
          <w:spacing w:val="-10"/>
        </w:rPr>
        <w:t>⑩ 认真填写有关资料，做好现场施工日记。</w:t>
      </w:r>
    </w:p>
    <w:p>
      <w:pPr>
        <w:pStyle w:val="BodyText"/>
        <w:spacing w:before="10"/>
        <w:ind w:left="0"/>
        <w:rPr>
          <w:sz w:val="27"/>
        </w:rPr>
      </w:pPr>
    </w:p>
    <w:p>
      <w:pPr>
        <w:pStyle w:val="BodyText"/>
        <w:spacing w:before="42"/>
      </w:pPr>
      <w:r>
        <w:rPr>
          <w:spacing w:val="-350"/>
          <w:w w:val="100"/>
        </w:rPr>
        <w:t>○</w:t>
      </w:r>
      <w:r>
        <w:rPr>
          <w:rFonts w:ascii="Arial Narrow" w:eastAsia="Arial Narrow" w:hAnsi="Arial Narrow"/>
          <w:w w:val="109"/>
          <w:position w:val="-6"/>
          <w:sz w:val="29"/>
        </w:rPr>
        <w:t>11</w:t>
      </w:r>
      <w:r>
        <w:rPr>
          <w:rFonts w:ascii="Arial Narrow" w:eastAsia="Arial Narrow" w:hAnsi="Arial Narrow"/>
          <w:spacing w:val="-8"/>
          <w:position w:val="-6"/>
          <w:sz w:val="29"/>
        </w:rPr>
        <w:t xml:space="preserve"> </w:t>
      </w:r>
      <w:r>
        <w:rPr>
          <w:w w:val="100"/>
        </w:rPr>
        <w:t>督促施工单位做好成品保护工作。</w:t>
      </w:r>
    </w:p>
    <w:p>
      <w:pPr>
        <w:pStyle w:val="BodyText"/>
        <w:spacing w:before="10"/>
        <w:ind w:left="0"/>
        <w:rPr>
          <w:sz w:val="26"/>
        </w:rPr>
      </w:pPr>
    </w:p>
    <w:p>
      <w:pPr>
        <w:pStyle w:val="BodyText"/>
        <w:spacing w:before="42"/>
      </w:pPr>
      <w:r>
        <w:t>预算、材料管理员：吴艳</w:t>
      </w:r>
    </w:p>
    <w:p>
      <w:pPr>
        <w:pStyle w:val="BodyText"/>
        <w:ind w:left="0"/>
        <w:rPr>
          <w:sz w:val="31"/>
        </w:rPr>
      </w:pPr>
    </w:p>
    <w:p>
      <w:pPr>
        <w:pStyle w:val="BodyText"/>
        <w:spacing w:before="1"/>
      </w:pPr>
      <w:r>
        <w:t>职责范围：工程预算、材料监管</w:t>
      </w:r>
    </w:p>
    <w:p>
      <w:pPr>
        <w:pStyle w:val="BodyText"/>
        <w:ind w:left="0"/>
        <w:rPr>
          <w:sz w:val="31"/>
        </w:rPr>
      </w:pPr>
    </w:p>
    <w:p>
      <w:pPr>
        <w:pStyle w:val="BodyText"/>
        <w:spacing w:line="417" w:lineRule="auto"/>
        <w:ind w:left="676" w:right="628" w:hanging="540"/>
      </w:pPr>
      <w:r>
        <w:rPr>
          <w:spacing w:val="-9"/>
        </w:rPr>
        <w:t>① 对工地所需主材数量进行核对并检查材料质量检验报告，避开材</w:t>
      </w:r>
      <w:r>
        <w:t>料浪费和劣质材料流入工地。</w:t>
      </w:r>
    </w:p>
    <w:p>
      <w:pPr>
        <w:pStyle w:val="BodyText"/>
      </w:pPr>
      <w:r>
        <w:rPr>
          <w:spacing w:val="-10"/>
        </w:rPr>
        <w:t>② 做好日常工地材料的进场登记、材料领用登记。</w:t>
      </w:r>
    </w:p>
    <w:p>
      <w:pPr>
        <w:pStyle w:val="BodyText"/>
        <w:spacing w:before="1"/>
        <w:ind w:left="0"/>
        <w:rPr>
          <w:sz w:val="31"/>
        </w:rPr>
      </w:pPr>
    </w:p>
    <w:p>
      <w:pPr>
        <w:pStyle w:val="BodyText"/>
      </w:pPr>
      <w:r>
        <w:rPr>
          <w:spacing w:val="-10"/>
        </w:rPr>
        <w:t>③ 每日核对现场管理人员所报工程量。</w:t>
      </w:r>
    </w:p>
    <w:p>
      <w:pPr>
        <w:pStyle w:val="BodyText"/>
        <w:ind w:left="0"/>
        <w:rPr>
          <w:sz w:val="31"/>
        </w:rPr>
      </w:pPr>
    </w:p>
    <w:p>
      <w:pPr>
        <w:pStyle w:val="BodyText"/>
        <w:spacing w:line="417" w:lineRule="auto"/>
        <w:ind w:left="558" w:right="480" w:hanging="421"/>
      </w:pPr>
      <w:r>
        <w:rPr>
          <w:spacing w:val="-12"/>
        </w:rPr>
        <w:t>④严格控制工地成本。对工地进行例行检查，对待所发觉浪费材料情</w:t>
      </w:r>
      <w:r>
        <w:t>况进行制止，对待可二次利用的材料立刻返回材料库房。</w:t>
      </w:r>
    </w:p>
    <w:p>
      <w:pPr>
        <w:pStyle w:val="BodyText"/>
        <w:spacing w:line="537" w:lineRule="exact"/>
      </w:pPr>
      <w:r>
        <w:t>⑤依据施工图详细计算所用材料数量。</w:t>
      </w:r>
    </w:p>
    <w:p>
      <w:pPr>
        <w:pStyle w:val="BodyText"/>
        <w:spacing w:before="2"/>
        <w:ind w:left="0"/>
        <w:rPr>
          <w:sz w:val="31"/>
        </w:rPr>
      </w:pPr>
    </w:p>
    <w:p>
      <w:pPr>
        <w:pStyle w:val="BodyText"/>
      </w:pPr>
      <w:r>
        <w:t>⑥打印项目部日常工作文件和复印工作。</w:t>
      </w:r>
    </w:p>
    <w:p>
      <w:pPr>
        <w:pStyle w:val="BodyText"/>
        <w:spacing w:before="1"/>
        <w:ind w:left="0"/>
        <w:rPr>
          <w:sz w:val="31"/>
        </w:rPr>
      </w:pPr>
    </w:p>
    <w:p>
      <w:pPr>
        <w:pStyle w:val="BodyText"/>
        <w:spacing w:line="417" w:lineRule="auto"/>
        <w:ind w:right="480"/>
      </w:pPr>
      <w:r>
        <w:rPr>
          <w:spacing w:val="-9"/>
        </w:rPr>
        <w:t>⑦对项目部日常文件资料进行整理归档，并对项目部所有文件进行收</w:t>
      </w:r>
      <w:r>
        <w:t>发登记。</w:t>
      </w:r>
    </w:p>
    <w:p>
      <w:pPr>
        <w:pStyle w:val="BodyText"/>
        <w:spacing w:line="537" w:lineRule="exact"/>
      </w:pPr>
      <w:r>
        <w:rPr>
          <w:rFonts w:ascii="Arial Narrow" w:eastAsia="Arial Narrow" w:hAnsi="Arial Narrow"/>
          <w:spacing w:val="1"/>
          <w:w w:val="109"/>
        </w:rPr>
        <w:t>2</w:t>
      </w:r>
      <w:r>
        <w:rPr>
          <w:w w:val="100"/>
        </w:rPr>
        <w:t>、加强“三检制</w:t>
      </w:r>
      <w:r>
        <w:rPr>
          <w:spacing w:val="-289"/>
          <w:w w:val="100"/>
        </w:rPr>
        <w:t>”</w:t>
      </w:r>
      <w:r>
        <w:rPr>
          <w:w w:val="100"/>
        </w:rPr>
        <w:t>（自检、互检、专检）分项工程在施工完毕且分项</w:t>
      </w:r>
    </w:p>
    <w:p>
      <w:pPr>
        <w:spacing w:after="0" w:line="537" w:lineRule="exact"/>
        <w:sectPr>
          <w:pgSz w:w="17860" w:h="25260"/>
          <w:pgMar w:top="1560" w:right="2200" w:bottom="280" w:left="2560" w:header="1160" w:footer="0"/>
          <w:cols w:space="708"/>
        </w:sectPr>
      </w:pPr>
    </w:p>
    <w:p>
      <w:pPr>
        <w:pStyle w:val="BodyText"/>
        <w:ind w:left="0"/>
        <w:rPr>
          <w:sz w:val="20"/>
        </w:rPr>
      </w:pPr>
    </w:p>
    <w:p>
      <w:pPr>
        <w:pStyle w:val="BodyText"/>
        <w:spacing w:before="181" w:line="417" w:lineRule="auto"/>
        <w:ind w:right="324"/>
      </w:pPr>
      <w:r>
        <w:t>工程要求的检验工作完成后方进行该分项工程质量检验评定和核定。</w:t>
      </w:r>
      <w:r>
        <w:rPr>
          <w:spacing w:val="-8"/>
        </w:rPr>
        <w:t>工程竣工验收前项目技术负责人应整理好分项、分部工程质量检验资</w:t>
      </w:r>
      <w:r>
        <w:rPr>
          <w:spacing w:val="-12"/>
        </w:rPr>
        <w:t>料和装饰工程质量保证资料，经审核满足规定要求后报监理公司做最后</w:t>
      </w:r>
      <w:r>
        <w:t>审核。</w:t>
      </w:r>
    </w:p>
    <w:p>
      <w:pPr>
        <w:pStyle w:val="BodyText"/>
        <w:spacing w:line="417" w:lineRule="auto"/>
        <w:ind w:right="491"/>
        <w:jc w:val="both"/>
      </w:pPr>
      <w:r>
        <w:rPr>
          <w:rFonts w:ascii="Times New Roman" w:eastAsia="Times New Roman"/>
        </w:rPr>
        <w:t>3</w:t>
      </w:r>
      <w:r>
        <w:t>、为了保证和提升工程质量，还建立了工作保证体系。该体系按以</w:t>
      </w:r>
      <w:r>
        <w:rPr>
          <w:w w:val="100"/>
        </w:rPr>
        <w:t>下程序动作，经过规划（</w:t>
      </w:r>
      <w:r>
        <w:rPr>
          <w:spacing w:val="-159"/>
        </w:rPr>
        <w:t xml:space="preserve"> </w:t>
      </w:r>
      <w:r>
        <w:rPr>
          <w:rFonts w:ascii="Times New Roman" w:eastAsia="Times New Roman"/>
          <w:spacing w:val="5"/>
          <w:w w:val="100"/>
        </w:rPr>
        <w:t>A</w:t>
      </w:r>
      <w:r>
        <w:rPr>
          <w:spacing w:val="-205"/>
          <w:w w:val="100"/>
        </w:rPr>
        <w:t>）</w:t>
      </w:r>
      <w:r>
        <w:rPr>
          <w:w w:val="100"/>
        </w:rPr>
        <w:t>、实施</w:t>
      </w:r>
      <w:r>
        <w:rPr>
          <w:spacing w:val="14"/>
          <w:w w:val="100"/>
        </w:rPr>
        <w:t>（</w:t>
      </w:r>
      <w:r>
        <w:rPr>
          <w:rFonts w:ascii="Times New Roman" w:eastAsia="Times New Roman"/>
          <w:spacing w:val="7"/>
          <w:w w:val="100"/>
        </w:rPr>
        <w:t>B</w:t>
      </w:r>
      <w:r>
        <w:rPr>
          <w:spacing w:val="-209"/>
          <w:w w:val="100"/>
        </w:rPr>
        <w:t>）</w:t>
      </w:r>
      <w:r>
        <w:rPr>
          <w:w w:val="100"/>
        </w:rPr>
        <w:t>、检查</w:t>
      </w:r>
      <w:r>
        <w:rPr>
          <w:spacing w:val="18"/>
          <w:w w:val="100"/>
        </w:rPr>
        <w:t>（</w:t>
      </w:r>
      <w:r>
        <w:rPr>
          <w:rFonts w:ascii="Times New Roman" w:eastAsia="Times New Roman"/>
          <w:spacing w:val="7"/>
          <w:w w:val="100"/>
        </w:rPr>
        <w:t>C</w:t>
      </w:r>
      <w:r>
        <w:rPr>
          <w:spacing w:val="-209"/>
          <w:w w:val="100"/>
        </w:rPr>
        <w:t>）</w:t>
      </w:r>
      <w:r>
        <w:rPr>
          <w:w w:val="100"/>
        </w:rPr>
        <w:t>、处理</w:t>
      </w:r>
      <w:r>
        <w:rPr>
          <w:spacing w:val="22"/>
          <w:w w:val="100"/>
        </w:rPr>
        <w:t>（</w:t>
      </w:r>
      <w:r>
        <w:rPr>
          <w:rFonts w:ascii="Times New Roman" w:eastAsia="Times New Roman"/>
          <w:spacing w:val="1"/>
          <w:w w:val="100"/>
        </w:rPr>
        <w:t>D</w:t>
      </w:r>
      <w:r>
        <w:rPr>
          <w:w w:val="100"/>
        </w:rPr>
        <w:t>）</w:t>
      </w:r>
      <w:r>
        <w:rPr>
          <w:spacing w:val="-15"/>
          <w:w w:val="100"/>
        </w:rPr>
        <w:t>四</w:t>
      </w:r>
      <w:r>
        <w:t>个阶段把施工中相应的质量有机结合。</w:t>
      </w:r>
    </w:p>
    <w:p>
      <w:pPr>
        <w:pStyle w:val="BodyText"/>
        <w:spacing w:line="538" w:lineRule="exact"/>
      </w:pPr>
      <w:r>
        <w:rPr>
          <w:w w:val="100"/>
        </w:rPr>
        <w:t>质量管理的全经过就是依据规划</w:t>
      </w:r>
      <w:r>
        <w:rPr>
          <w:spacing w:val="7"/>
          <w:w w:val="100"/>
        </w:rPr>
        <w:t>（</w:t>
      </w:r>
      <w:r>
        <w:rPr>
          <w:rFonts w:ascii="Times New Roman" w:eastAsia="Times New Roman"/>
          <w:spacing w:val="-2"/>
          <w:w w:val="100"/>
        </w:rPr>
        <w:t>A</w:t>
      </w:r>
      <w:r>
        <w:rPr>
          <w:spacing w:val="-205"/>
          <w:w w:val="100"/>
        </w:rPr>
        <w:t>）</w:t>
      </w:r>
      <w:r>
        <w:rPr>
          <w:w w:val="100"/>
        </w:rPr>
        <w:t>、实施（</w:t>
      </w:r>
      <w:r>
        <w:rPr>
          <w:rFonts w:ascii="Times New Roman" w:eastAsia="Times New Roman"/>
          <w:w w:val="100"/>
        </w:rPr>
        <w:t>B</w:t>
      </w:r>
      <w:r>
        <w:rPr>
          <w:spacing w:val="-209"/>
          <w:w w:val="100"/>
        </w:rPr>
        <w:t>）</w:t>
      </w:r>
      <w:r>
        <w:rPr>
          <w:w w:val="100"/>
        </w:rPr>
        <w:t>、检查</w:t>
      </w:r>
      <w:r>
        <w:rPr>
          <w:spacing w:val="4"/>
          <w:w w:val="100"/>
        </w:rPr>
        <w:t>（</w:t>
      </w:r>
      <w:r>
        <w:rPr>
          <w:rFonts w:ascii="Times New Roman" w:eastAsia="Times New Roman"/>
          <w:spacing w:val="-1"/>
          <w:w w:val="100"/>
        </w:rPr>
        <w:t>C</w:t>
      </w:r>
      <w:r>
        <w:rPr>
          <w:spacing w:val="-209"/>
          <w:w w:val="100"/>
        </w:rPr>
        <w:t>）</w:t>
      </w:r>
      <w:r>
        <w:rPr>
          <w:w w:val="100"/>
        </w:rPr>
        <w:t>、处理</w:t>
      </w:r>
    </w:p>
    <w:p>
      <w:pPr>
        <w:pStyle w:val="BodyText"/>
        <w:spacing w:before="396" w:line="417" w:lineRule="auto"/>
        <w:ind w:right="443"/>
      </w:pPr>
      <w:r>
        <w:t>（</w:t>
      </w:r>
      <w:r>
        <w:rPr>
          <w:rFonts w:ascii="Times New Roman" w:eastAsia="Times New Roman"/>
        </w:rPr>
        <w:t>D</w:t>
      </w:r>
      <w:r>
        <w:t>）循环不停地、周而复始地运转，每完成一次循环，解决肯定的质量问题，达到保证质量和提升质量的目标。</w:t>
      </w:r>
    </w:p>
    <w:p>
      <w:pPr>
        <w:pStyle w:val="BodyText"/>
        <w:spacing w:line="537" w:lineRule="exact"/>
      </w:pPr>
      <w:r>
        <w:rPr>
          <w:rFonts w:ascii="Times New Roman" w:eastAsia="Times New Roman"/>
        </w:rPr>
        <w:t>4.</w:t>
      </w:r>
      <w:r>
        <w:rPr>
          <w:rFonts w:ascii="Times New Roman" w:eastAsia="Times New Roman"/>
          <w:spacing w:val="4"/>
        </w:rPr>
        <w:t xml:space="preserve"> </w:t>
      </w:r>
      <w:r>
        <w:t>施工经过中的质量控制</w:t>
      </w:r>
    </w:p>
    <w:p>
      <w:pPr>
        <w:pStyle w:val="BodyText"/>
        <w:spacing w:before="398" w:line="417" w:lineRule="auto"/>
        <w:ind w:right="324"/>
      </w:pPr>
      <w:r>
        <w:t>施工经过中的质量控制是整个施工阶段现场施工质量控制的中心环</w:t>
      </w:r>
      <w:r>
        <w:rPr>
          <w:spacing w:val="1"/>
        </w:rPr>
        <w:t xml:space="preserve"> </w:t>
      </w:r>
      <w:r>
        <w:t>节。在施工前，按工程项目的分部分项工程，确定每一道工序的质量管理点，列出简单产生的质量问题，并制定质量保证措施，落实责任人员。但详细实施必需经过现场施工经过中的质量控制。因此，工程管理人员应重点在以下几方面进行质量检查和控制。</w:t>
      </w:r>
    </w:p>
    <w:p>
      <w:pPr>
        <w:pStyle w:val="BodyText"/>
        <w:spacing w:line="417" w:lineRule="auto"/>
        <w:ind w:right="324"/>
        <w:jc w:val="both"/>
      </w:pPr>
      <w:r>
        <w:rPr>
          <w:rFonts w:ascii="Times New Roman" w:eastAsia="Times New Roman"/>
        </w:rPr>
        <w:t>A</w:t>
      </w:r>
      <w:r>
        <w:t>、工程技术负责人或专业施工技术负责人，图纸会审后，应对参加</w:t>
      </w:r>
      <w:r>
        <w:rPr>
          <w:spacing w:val="-8"/>
        </w:rPr>
        <w:t>该工程施工的技术人员和工人进行技术交底，使他们认识所承担的工</w:t>
      </w:r>
      <w:r>
        <w:t>程任务的特点、技术要求、施工工艺、工程难点以及施工操作要求，</w:t>
      </w:r>
      <w:r>
        <w:rPr>
          <w:spacing w:val="-208"/>
        </w:rPr>
        <w:t xml:space="preserve"> </w:t>
      </w:r>
      <w:r>
        <w:t>做到心中有数。</w:t>
      </w:r>
    </w:p>
    <w:p>
      <w:pPr>
        <w:pStyle w:val="BodyText"/>
        <w:spacing w:line="417" w:lineRule="auto"/>
        <w:ind w:right="2993"/>
      </w:pPr>
      <w:r>
        <w:rPr>
          <w:rFonts w:ascii="Times New Roman" w:eastAsia="Times New Roman"/>
        </w:rPr>
        <w:t>B</w:t>
      </w:r>
      <w:r>
        <w:t>、凡有施工方案的项目，必需按施工方案进行施工。</w:t>
      </w:r>
      <w:r>
        <w:rPr>
          <w:rFonts w:ascii="Times New Roman" w:eastAsia="Times New Roman"/>
        </w:rPr>
        <w:t>C</w:t>
      </w:r>
      <w:r>
        <w:t>、施工经过控制</w:t>
      </w:r>
    </w:p>
    <w:p>
      <w:pPr>
        <w:spacing w:after="0" w:line="417" w:lineRule="auto"/>
        <w:sectPr>
          <w:pgSz w:w="17860" w:h="25260"/>
          <w:pgMar w:top="1560" w:right="2200" w:bottom="280" w:left="2560" w:header="1160" w:footer="0"/>
          <w:cols w:space="708"/>
        </w:sectPr>
      </w:pPr>
    </w:p>
    <w:p>
      <w:pPr>
        <w:pStyle w:val="BodyText"/>
        <w:ind w:left="0"/>
        <w:rPr>
          <w:sz w:val="20"/>
        </w:rPr>
      </w:pPr>
    </w:p>
    <w:p>
      <w:pPr>
        <w:pStyle w:val="BodyText"/>
        <w:spacing w:before="181" w:line="417" w:lineRule="auto"/>
        <w:ind w:right="491"/>
      </w:pPr>
      <w:r>
        <w:rPr>
          <w:spacing w:val="-12"/>
        </w:rPr>
        <w:t>在每道工序的操作中，必需着重加强对操作质量的巡视检查，对违规</w:t>
      </w:r>
      <w:r>
        <w:t>操作，不符合质量要求的及时纠正，防患于未然。</w:t>
      </w:r>
    </w:p>
    <w:p>
      <w:pPr>
        <w:pStyle w:val="BodyText"/>
        <w:spacing w:line="537" w:lineRule="exact"/>
      </w:pPr>
      <w:r>
        <w:rPr>
          <w:rFonts w:ascii="Cambria" w:eastAsia="Cambria"/>
        </w:rPr>
        <w:t>D</w:t>
      </w:r>
      <w:r>
        <w:t>、工序质量交接检查</w:t>
      </w:r>
    </w:p>
    <w:p>
      <w:pPr>
        <w:pStyle w:val="BodyText"/>
        <w:spacing w:before="398" w:line="417" w:lineRule="auto"/>
        <w:ind w:right="261"/>
      </w:pPr>
      <w:r>
        <w:rPr>
          <w:spacing w:val="-20"/>
        </w:rPr>
        <w:t>在工序质量的自检、互检的基础上，还必需进行工序质量的交接检查，</w:t>
      </w:r>
      <w:r>
        <w:rPr>
          <w:spacing w:val="-207"/>
        </w:rPr>
        <w:t xml:space="preserve"> </w:t>
      </w:r>
      <w:r>
        <w:t>坚持上道工序不合格就不能转入下道工序的施工原则。</w:t>
      </w:r>
    </w:p>
    <w:p>
      <w:pPr>
        <w:pStyle w:val="BodyText"/>
        <w:spacing w:line="537" w:lineRule="exact"/>
      </w:pPr>
      <w:r>
        <w:rPr>
          <w:rFonts w:ascii="Cambria" w:eastAsia="Cambria"/>
        </w:rPr>
        <w:t>E</w:t>
      </w:r>
      <w:r>
        <w:t>、隐蔽工程的检查</w:t>
      </w:r>
    </w:p>
    <w:p>
      <w:pPr>
        <w:pStyle w:val="BodyText"/>
        <w:spacing w:before="398" w:line="417" w:lineRule="auto"/>
        <w:ind w:right="267"/>
        <w:jc w:val="both"/>
      </w:pPr>
      <w:r>
        <w:rPr>
          <w:spacing w:val="-21"/>
        </w:rPr>
        <w:t>坚持隐蔽工程验收检查，是防止质量隐患，避开质量事故的重要措施。</w:t>
      </w:r>
      <w:r>
        <w:t>隐蔽工程验收检查后，要办理隐检签证手续，列入工程档案。在隐蔽工程中查出的质量问题必需认真处理，处理后经监理工程师复核后，</w:t>
      </w:r>
      <w:r>
        <w:rPr>
          <w:spacing w:val="-208"/>
        </w:rPr>
        <w:t xml:space="preserve"> </w:t>
      </w:r>
      <w:r>
        <w:t>才能转入下道工序施工。</w:t>
      </w:r>
    </w:p>
    <w:p>
      <w:pPr>
        <w:pStyle w:val="Heading2"/>
        <w:numPr>
          <w:ilvl w:val="1"/>
          <w:numId w:val="11"/>
        </w:numPr>
        <w:tabs>
          <w:tab w:val="left" w:pos="875"/>
        </w:tabs>
        <w:spacing w:before="0" w:after="0" w:line="537" w:lineRule="exact"/>
        <w:ind w:left="875" w:right="0" w:hanging="738"/>
        <w:jc w:val="both"/>
      </w:pPr>
      <w:r>
        <w:rPr>
          <w:w w:val="95"/>
        </w:rPr>
        <w:t>成本控制管理</w:t>
      </w:r>
    </w:p>
    <w:p>
      <w:pPr>
        <w:pStyle w:val="BodyText"/>
        <w:spacing w:before="398" w:line="417" w:lineRule="auto"/>
        <w:ind w:right="324"/>
        <w:jc w:val="both"/>
      </w:pPr>
      <w:r>
        <w:t>施工人员必需充分熟悉工程的特点、施工规范、工艺流程、复核装修尺寸、设备位置等，充分作好施工预备，在保证质量的前提下努力搞好降低成本，增加效益。</w:t>
      </w:r>
    </w:p>
    <w:p>
      <w:pPr>
        <w:pStyle w:val="BodyText"/>
        <w:spacing w:line="538" w:lineRule="exact"/>
      </w:pPr>
      <w:r>
        <w:rPr>
          <w:rFonts w:ascii="Cambria" w:eastAsia="Cambria"/>
        </w:rPr>
        <w:t>1</w:t>
      </w:r>
      <w:r>
        <w:t>、合理布置施工挨次，各工种搞好协调关系，避开不必要的返工。</w:t>
      </w:r>
    </w:p>
    <w:p>
      <w:pPr>
        <w:pStyle w:val="BodyText"/>
        <w:spacing w:before="398"/>
      </w:pPr>
      <w:r>
        <w:rPr>
          <w:rFonts w:ascii="Cambria" w:eastAsia="Cambria"/>
        </w:rPr>
        <w:t>2</w:t>
      </w:r>
      <w:r>
        <w:t>、施工员对材料进场和材料损耗做到心中有数，合理布置成本。</w:t>
      </w:r>
    </w:p>
    <w:p>
      <w:pPr>
        <w:pStyle w:val="BodyText"/>
        <w:spacing w:before="398"/>
      </w:pPr>
      <w:r>
        <w:rPr>
          <w:rFonts w:ascii="Cambria" w:eastAsia="Cambria"/>
        </w:rPr>
        <w:t>3</w:t>
      </w:r>
      <w:r>
        <w:t>、对异型材料成套加工，降低采购成本。</w:t>
      </w:r>
    </w:p>
    <w:p>
      <w:pPr>
        <w:pStyle w:val="BodyText"/>
        <w:spacing w:before="398" w:line="417" w:lineRule="auto"/>
        <w:ind w:right="529"/>
      </w:pPr>
      <w:r>
        <w:rPr>
          <w:rFonts w:ascii="Cambria" w:eastAsia="Cambria"/>
        </w:rPr>
        <w:t>4</w:t>
      </w:r>
      <w:r>
        <w:t>、合理布置材料入场规划，提出详细的开料单、下料单按图下料削减损耗。</w:t>
      </w:r>
    </w:p>
    <w:p>
      <w:pPr>
        <w:pStyle w:val="BodyText"/>
        <w:spacing w:line="417" w:lineRule="auto"/>
        <w:ind w:right="529"/>
      </w:pPr>
      <w:r>
        <w:rPr>
          <w:rFonts w:ascii="Cambria" w:eastAsia="Cambria"/>
        </w:rPr>
        <w:t>5</w:t>
      </w:r>
      <w:r>
        <w:t>、认真审查图纸，在不影响质量和设计要求的前提下，建议转变不合理设计，节省原材料。</w:t>
      </w:r>
    </w:p>
    <w:p>
      <w:pPr>
        <w:pStyle w:val="BodyText"/>
        <w:spacing w:line="537" w:lineRule="exact"/>
      </w:pPr>
      <w:r>
        <w:rPr>
          <w:rFonts w:ascii="Cambria" w:eastAsia="Cambria"/>
        </w:rPr>
        <w:t>6</w:t>
      </w:r>
      <w:r>
        <w:t>、加强现场材料管理，按规划分期进料，防止积压，对来料的验收</w:t>
      </w:r>
    </w:p>
    <w:p>
      <w:pPr>
        <w:spacing w:after="0" w:line="537" w:lineRule="exact"/>
        <w:sectPr>
          <w:pgSz w:w="17860" w:h="25260"/>
          <w:pgMar w:top="1560" w:right="2200" w:bottom="280" w:left="2560" w:header="1160" w:footer="0"/>
          <w:cols w:space="708"/>
        </w:sectPr>
      </w:pPr>
    </w:p>
    <w:p>
      <w:pPr>
        <w:pStyle w:val="BodyText"/>
        <w:ind w:left="0"/>
        <w:rPr>
          <w:sz w:val="20"/>
        </w:rPr>
      </w:pPr>
    </w:p>
    <w:p>
      <w:pPr>
        <w:pStyle w:val="BodyText"/>
        <w:spacing w:before="181" w:line="417" w:lineRule="auto"/>
        <w:ind w:right="324"/>
      </w:pPr>
      <w:r>
        <w:t>工作，从数量、质量、规格上要把关，防止不符合标准的材料进场造成浪费。</w:t>
      </w:r>
    </w:p>
    <w:p>
      <w:pPr>
        <w:pStyle w:val="BodyText"/>
        <w:spacing w:line="537" w:lineRule="exact"/>
      </w:pPr>
      <w:r>
        <w:rPr>
          <w:rFonts w:ascii="Arial Narrow" w:eastAsia="Arial Narrow"/>
        </w:rPr>
        <w:t>7</w:t>
      </w:r>
      <w:r>
        <w:t>、在施工中认真推广新技术、新工艺，来降低成本。</w:t>
      </w:r>
    </w:p>
    <w:p>
      <w:pPr>
        <w:pStyle w:val="BodyText"/>
        <w:spacing w:before="398"/>
      </w:pPr>
      <w:r>
        <w:rPr>
          <w:rFonts w:ascii="Arial Narrow" w:eastAsia="Arial Narrow"/>
        </w:rPr>
        <w:t>8</w:t>
      </w:r>
      <w:r>
        <w:t>、在现场施工管理经过当中，对下脚料、余料及时进行回收和利用。</w:t>
      </w:r>
    </w:p>
    <w:p>
      <w:pPr>
        <w:pStyle w:val="BodyText"/>
        <w:spacing w:before="398" w:line="417" w:lineRule="auto"/>
        <w:ind w:right="276"/>
      </w:pPr>
      <w:r>
        <w:rPr>
          <w:rFonts w:ascii="Arial Narrow" w:eastAsia="Arial Narrow"/>
        </w:rPr>
        <w:t>9</w:t>
      </w:r>
      <w:r>
        <w:rPr>
          <w:spacing w:val="-13"/>
        </w:rPr>
        <w:t>、在木制作施工当中尽量实行标准化的批量生产，以达到节省成本、</w:t>
      </w:r>
      <w:r>
        <w:t>节省施工周期的目的。</w:t>
      </w:r>
    </w:p>
    <w:p>
      <w:pPr>
        <w:pStyle w:val="BodyText"/>
        <w:spacing w:line="417" w:lineRule="auto"/>
        <w:ind w:right="480"/>
      </w:pPr>
      <w:r>
        <w:rPr>
          <w:rFonts w:ascii="Arial Narrow" w:eastAsia="Arial Narrow"/>
        </w:rPr>
        <w:t>10</w:t>
      </w:r>
      <w:r>
        <w:rPr>
          <w:spacing w:val="-14"/>
        </w:rPr>
        <w:t>、在施工管理经过当中以每十天为一个周期，对工程量及材料使用</w:t>
      </w:r>
      <w:r>
        <w:t>情况，进行成本控制的核算。</w:t>
      </w:r>
    </w:p>
    <w:p>
      <w:pPr>
        <w:pStyle w:val="Heading2"/>
        <w:numPr>
          <w:ilvl w:val="1"/>
          <w:numId w:val="11"/>
        </w:numPr>
        <w:tabs>
          <w:tab w:val="left" w:pos="767"/>
        </w:tabs>
        <w:spacing w:before="0" w:after="0" w:line="537" w:lineRule="exact"/>
        <w:ind w:left="767" w:right="0" w:hanging="630"/>
        <w:jc w:val="left"/>
      </w:pPr>
      <w:r>
        <w:rPr>
          <w:w w:val="95"/>
        </w:rPr>
        <w:t>安全文明管理措施</w:t>
      </w:r>
    </w:p>
    <w:p>
      <w:pPr>
        <w:pStyle w:val="BodyText"/>
        <w:spacing w:before="398" w:line="417" w:lineRule="auto"/>
        <w:ind w:right="529"/>
      </w:pPr>
      <w:r>
        <w:rPr>
          <w:rFonts w:ascii="Arial Narrow" w:eastAsia="Arial Narrow"/>
        </w:rPr>
        <w:t>1</w:t>
      </w:r>
      <w:r>
        <w:t>、必需坚持预防为主与综合管理的原则，搞好安全生产管理，防患于未然。</w:t>
      </w:r>
    </w:p>
    <w:p>
      <w:pPr>
        <w:pStyle w:val="BodyText"/>
        <w:spacing w:line="417" w:lineRule="auto"/>
        <w:ind w:right="113"/>
      </w:pPr>
      <w:r>
        <w:rPr>
          <w:rFonts w:ascii="Arial Narrow" w:eastAsia="Arial Narrow"/>
        </w:rPr>
        <w:t>2</w:t>
      </w:r>
      <w:r>
        <w:t>、以我为主的原则，对现场的安全管理应强调从我做起，自我控制，</w:t>
      </w:r>
      <w:r>
        <w:rPr>
          <w:spacing w:val="-207"/>
        </w:rPr>
        <w:t xml:space="preserve"> </w:t>
      </w:r>
      <w:r>
        <w:t>努力发觉并消除担心全因素，确保安全生产的实现。</w:t>
      </w:r>
    </w:p>
    <w:p>
      <w:pPr>
        <w:pStyle w:val="BodyText"/>
        <w:spacing w:line="417" w:lineRule="auto"/>
        <w:ind w:right="529"/>
      </w:pPr>
      <w:r>
        <w:rPr>
          <w:rFonts w:ascii="Arial Narrow" w:eastAsia="Arial Narrow"/>
        </w:rPr>
        <w:t>3</w:t>
      </w:r>
      <w:r>
        <w:t>、加强安全生产检查。经过检查发觉担心全因素，实行措施消除隐患，预防事故发生。</w:t>
      </w:r>
    </w:p>
    <w:p>
      <w:pPr>
        <w:pStyle w:val="BodyText"/>
        <w:spacing w:line="417" w:lineRule="auto"/>
        <w:ind w:right="488"/>
        <w:jc w:val="both"/>
      </w:pPr>
      <w:r>
        <w:rPr>
          <w:rFonts w:ascii="Arial Narrow" w:eastAsia="Arial Narrow"/>
        </w:rPr>
        <w:t>4</w:t>
      </w:r>
      <w:r>
        <w:t>、施工现场应严格劳动纪律，遵守操作与安全规程，施工现场物料</w:t>
      </w:r>
      <w:r>
        <w:rPr>
          <w:spacing w:val="-13"/>
        </w:rPr>
        <w:t>堆放有序便于操作，严格遵守国家有关环保的法律规定，优化施工现</w:t>
      </w:r>
      <w:r>
        <w:t>场的容貌。</w:t>
      </w:r>
    </w:p>
    <w:p>
      <w:pPr>
        <w:pStyle w:val="Heading2"/>
        <w:numPr>
          <w:ilvl w:val="1"/>
          <w:numId w:val="11"/>
        </w:numPr>
        <w:tabs>
          <w:tab w:val="left" w:pos="767"/>
        </w:tabs>
        <w:spacing w:before="0" w:after="0" w:line="240" w:lineRule="auto"/>
        <w:ind w:left="767" w:right="0" w:hanging="630"/>
        <w:jc w:val="left"/>
      </w:pPr>
      <w:r>
        <w:rPr>
          <w:w w:val="95"/>
        </w:rPr>
        <w:t>施工进度控制措施</w:t>
      </w:r>
    </w:p>
    <w:p>
      <w:pPr>
        <w:pStyle w:val="BodyText"/>
        <w:spacing w:before="396" w:line="417" w:lineRule="auto"/>
        <w:ind w:right="324"/>
        <w:jc w:val="both"/>
      </w:pPr>
      <w:r>
        <w:t>本装修工程施工进度应与土建、安装单位紧密协作，随时把握土建、安装进度及施工动向，以不影响装修进度为原则，与土建、安装紧密协作。以确保整个工程按时、按质、按量的竣工。二层施工规划总周</w:t>
      </w:r>
    </w:p>
    <w:p>
      <w:pPr>
        <w:spacing w:after="0" w:line="417" w:lineRule="auto"/>
        <w:jc w:val="both"/>
        <w:sectPr>
          <w:pgSz w:w="17860" w:h="25260"/>
          <w:pgMar w:top="1560" w:right="2200" w:bottom="280" w:left="2560" w:header="1160" w:footer="0"/>
          <w:cols w:space="708"/>
        </w:sectPr>
      </w:pPr>
    </w:p>
    <w:p>
      <w:pPr>
        <w:pStyle w:val="BodyText"/>
        <w:ind w:left="0"/>
        <w:rPr>
          <w:sz w:val="27"/>
        </w:rPr>
      </w:pPr>
    </w:p>
    <w:p>
      <w:pPr>
        <w:pStyle w:val="BodyText"/>
        <w:spacing w:before="91"/>
      </w:pPr>
      <w:r>
        <w:rPr>
          <w:spacing w:val="18"/>
          <w:w w:val="95"/>
        </w:rPr>
        <w:t xml:space="preserve">期为 </w:t>
      </w:r>
      <w:r>
        <w:rPr>
          <w:rFonts w:ascii="Cambria" w:eastAsia="Cambria"/>
          <w:w w:val="95"/>
        </w:rPr>
        <w:t>70</w:t>
      </w:r>
      <w:r>
        <w:rPr>
          <w:rFonts w:ascii="Cambria" w:eastAsia="Cambria"/>
          <w:spacing w:val="160"/>
        </w:rPr>
        <w:t xml:space="preserve"> </w:t>
      </w:r>
      <w:r>
        <w:rPr>
          <w:spacing w:val="-7"/>
          <w:w w:val="95"/>
        </w:rPr>
        <w:t xml:space="preserve">天；三层施工规划总周期为 </w:t>
      </w:r>
      <w:r>
        <w:rPr>
          <w:rFonts w:ascii="Cambria" w:eastAsia="Cambria"/>
          <w:w w:val="95"/>
        </w:rPr>
        <w:t>70</w:t>
      </w:r>
      <w:r>
        <w:rPr>
          <w:rFonts w:ascii="Cambria" w:eastAsia="Cambria"/>
          <w:spacing w:val="163"/>
        </w:rPr>
        <w:t xml:space="preserve"> </w:t>
      </w:r>
      <w:r>
        <w:rPr>
          <w:spacing w:val="-139"/>
          <w:w w:val="95"/>
        </w:rPr>
        <w:t>天。</w:t>
      </w:r>
      <w:r>
        <w:rPr>
          <w:w w:val="95"/>
        </w:rPr>
        <w:t>（详见总施工进度规划表）</w:t>
      </w:r>
    </w:p>
    <w:p>
      <w:pPr>
        <w:pStyle w:val="Heading2"/>
        <w:numPr>
          <w:ilvl w:val="1"/>
          <w:numId w:val="11"/>
        </w:numPr>
        <w:tabs>
          <w:tab w:val="left" w:pos="767"/>
        </w:tabs>
        <w:spacing w:before="398" w:after="0" w:line="240" w:lineRule="auto"/>
        <w:ind w:left="767" w:right="0" w:hanging="630"/>
        <w:jc w:val="left"/>
      </w:pPr>
      <w:r>
        <w:rPr>
          <w:w w:val="95"/>
        </w:rPr>
        <w:t>施工队的组织与管理</w:t>
      </w:r>
    </w:p>
    <w:p>
      <w:pPr>
        <w:pStyle w:val="BodyText"/>
        <w:spacing w:before="398" w:line="417" w:lineRule="auto"/>
        <w:ind w:right="254"/>
      </w:pPr>
      <w:r>
        <w:rPr>
          <w:spacing w:val="-5"/>
        </w:rPr>
        <w:t xml:space="preserve">二层施工队由欧典天艺 </w:t>
      </w:r>
      <w:r>
        <w:rPr>
          <w:rFonts w:ascii="Cambria" w:eastAsia="Cambria"/>
        </w:rPr>
        <w:t>GRC</w:t>
      </w:r>
      <w:r>
        <w:rPr>
          <w:rFonts w:ascii="Cambria" w:eastAsia="Cambria"/>
          <w:spacing w:val="75"/>
        </w:rPr>
        <w:t xml:space="preserve"> </w:t>
      </w:r>
      <w:r>
        <w:t>厂家、木工施工队（涂国明共计人数：</w:t>
      </w:r>
      <w:r>
        <w:rPr>
          <w:spacing w:val="1"/>
        </w:rPr>
        <w:t xml:space="preserve"> </w:t>
      </w:r>
      <w:r>
        <w:rPr>
          <w:rFonts w:ascii="Cambria" w:eastAsia="Cambria"/>
        </w:rPr>
        <w:t>30</w:t>
      </w:r>
      <w:r>
        <w:rPr>
          <w:rFonts w:ascii="Cambria" w:eastAsia="Cambria"/>
          <w:spacing w:val="39"/>
        </w:rPr>
        <w:t xml:space="preserve"> </w:t>
      </w:r>
      <w:r>
        <w:t>人，分为二个班次）</w:t>
      </w:r>
      <w:r>
        <w:rPr>
          <w:spacing w:val="1"/>
        </w:rPr>
        <w:t>等主要力气构成；三层施工队由欧艺</w:t>
      </w:r>
      <w:r>
        <w:rPr>
          <w:rFonts w:ascii="Cambria" w:eastAsia="Cambria"/>
        </w:rPr>
        <w:t>GRC</w:t>
      </w:r>
      <w:r>
        <w:rPr>
          <w:rFonts w:ascii="Cambria" w:eastAsia="Cambria"/>
          <w:spacing w:val="31"/>
        </w:rPr>
        <w:t xml:space="preserve"> </w:t>
      </w:r>
      <w:r>
        <w:t>厂</w:t>
      </w:r>
      <w:r>
        <w:rPr>
          <w:spacing w:val="-1"/>
        </w:rPr>
        <w:t>家、木工施工队（杨开安共计人数：</w:t>
      </w:r>
      <w:r>
        <w:rPr>
          <w:rFonts w:ascii="Cambria" w:eastAsia="Cambria"/>
          <w:spacing w:val="-1"/>
        </w:rPr>
        <w:t>40</w:t>
      </w:r>
      <w:r>
        <w:rPr>
          <w:rFonts w:ascii="Cambria" w:eastAsia="Cambria"/>
          <w:spacing w:val="-22"/>
        </w:rPr>
        <w:t xml:space="preserve"> </w:t>
      </w:r>
      <w:r>
        <w:rPr>
          <w:spacing w:val="-1"/>
        </w:rPr>
        <w:t>人，分为二个班次</w:t>
      </w:r>
      <w:r>
        <w:t>）等构成。现场管理方式：</w:t>
      </w:r>
    </w:p>
    <w:p>
      <w:pPr>
        <w:pStyle w:val="ListParagraph"/>
        <w:numPr>
          <w:ilvl w:val="0"/>
          <w:numId w:val="10"/>
        </w:numPr>
        <w:tabs>
          <w:tab w:val="left" w:pos="455"/>
        </w:tabs>
        <w:spacing w:before="0" w:after="0" w:line="538" w:lineRule="exact"/>
        <w:ind w:left="454" w:right="0" w:hanging="318"/>
        <w:jc w:val="left"/>
        <w:rPr>
          <w:rFonts w:ascii="Cambria" w:eastAsia="Cambria"/>
          <w:sz w:val="40"/>
        </w:rPr>
      </w:pPr>
      <w:r>
        <w:rPr>
          <w:sz w:val="42"/>
        </w:rPr>
        <w:t>进入工地的施工队必需统一着装，持上岗证。</w:t>
      </w:r>
    </w:p>
    <w:p>
      <w:pPr>
        <w:pStyle w:val="ListParagraph"/>
        <w:numPr>
          <w:ilvl w:val="0"/>
          <w:numId w:val="10"/>
        </w:numPr>
        <w:tabs>
          <w:tab w:val="left" w:pos="455"/>
        </w:tabs>
        <w:spacing w:before="398" w:after="0" w:line="240" w:lineRule="auto"/>
        <w:ind w:left="454" w:right="0" w:hanging="318"/>
        <w:jc w:val="left"/>
        <w:rPr>
          <w:rFonts w:ascii="Cambria" w:eastAsia="Cambria"/>
          <w:sz w:val="40"/>
        </w:rPr>
      </w:pPr>
      <w:r>
        <w:rPr>
          <w:sz w:val="42"/>
        </w:rPr>
        <w:t>施工队必需听从金碧辉煌装修项目部的管理。</w:t>
      </w:r>
    </w:p>
    <w:p>
      <w:pPr>
        <w:pStyle w:val="ListParagraph"/>
        <w:numPr>
          <w:ilvl w:val="0"/>
          <w:numId w:val="10"/>
        </w:numPr>
        <w:tabs>
          <w:tab w:val="left" w:pos="455"/>
        </w:tabs>
        <w:spacing w:before="398" w:after="0" w:line="240" w:lineRule="auto"/>
        <w:ind w:left="454" w:right="0" w:hanging="318"/>
        <w:jc w:val="left"/>
        <w:rPr>
          <w:rFonts w:ascii="Cambria" w:eastAsia="Cambria"/>
          <w:sz w:val="40"/>
        </w:rPr>
      </w:pPr>
      <w:r>
        <w:rPr>
          <w:sz w:val="42"/>
        </w:rPr>
        <w:t>遵守施工现场安全管理制度，并签订安全责任书。</w:t>
      </w:r>
    </w:p>
    <w:p>
      <w:pPr>
        <w:pStyle w:val="ListParagraph"/>
        <w:numPr>
          <w:ilvl w:val="0"/>
          <w:numId w:val="10"/>
        </w:numPr>
        <w:tabs>
          <w:tab w:val="left" w:pos="455"/>
        </w:tabs>
        <w:spacing w:before="397" w:after="0" w:line="240" w:lineRule="auto"/>
        <w:ind w:left="454" w:right="0" w:hanging="318"/>
        <w:jc w:val="left"/>
        <w:rPr>
          <w:rFonts w:ascii="Cambria" w:eastAsia="Cambria"/>
          <w:sz w:val="40"/>
        </w:rPr>
      </w:pPr>
      <w:r>
        <w:rPr>
          <w:sz w:val="42"/>
        </w:rPr>
        <w:t>施工经过中应有施工规划进度表和详细项目负责人。</w:t>
      </w:r>
    </w:p>
    <w:p>
      <w:pPr>
        <w:pStyle w:val="ListParagraph"/>
        <w:numPr>
          <w:ilvl w:val="0"/>
          <w:numId w:val="10"/>
        </w:numPr>
        <w:tabs>
          <w:tab w:val="left" w:pos="483"/>
        </w:tabs>
        <w:spacing w:before="398" w:after="0" w:line="417" w:lineRule="auto"/>
        <w:ind w:left="137" w:right="1242" w:firstLine="0"/>
        <w:jc w:val="left"/>
        <w:rPr>
          <w:rFonts w:ascii="Cambria" w:eastAsia="Cambria"/>
          <w:sz w:val="42"/>
        </w:rPr>
      </w:pPr>
      <w:r>
        <w:rPr>
          <w:sz w:val="42"/>
        </w:rPr>
        <w:t>各施工方应对施工现场的材料妥善保管，避开在施工经过中不必要的损耗。</w:t>
      </w:r>
    </w:p>
    <w:p>
      <w:pPr>
        <w:pStyle w:val="ListParagraph"/>
        <w:numPr>
          <w:ilvl w:val="0"/>
          <w:numId w:val="10"/>
        </w:numPr>
        <w:tabs>
          <w:tab w:val="left" w:pos="483"/>
        </w:tabs>
        <w:spacing w:before="0" w:after="0" w:line="417" w:lineRule="auto"/>
        <w:ind w:left="137" w:right="1242" w:firstLine="0"/>
        <w:jc w:val="left"/>
        <w:rPr>
          <w:rFonts w:ascii="Cambria" w:eastAsia="Cambria"/>
          <w:sz w:val="42"/>
        </w:rPr>
      </w:pPr>
      <w:r>
        <w:rPr>
          <w:sz w:val="42"/>
        </w:rPr>
        <w:t>各施工队人员不能出现人为的浪费材料或有意损坏，如发觉此种情况，将按材料价格加倍罚款。</w:t>
      </w:r>
    </w:p>
    <w:p>
      <w:pPr>
        <w:pStyle w:val="ListParagraph"/>
        <w:numPr>
          <w:ilvl w:val="0"/>
          <w:numId w:val="10"/>
        </w:numPr>
        <w:tabs>
          <w:tab w:val="left" w:pos="569"/>
        </w:tabs>
        <w:spacing w:before="0" w:after="0" w:line="417" w:lineRule="auto"/>
        <w:ind w:left="137" w:right="736" w:firstLine="0"/>
        <w:jc w:val="left"/>
        <w:rPr>
          <w:sz w:val="40"/>
        </w:rPr>
      </w:pPr>
      <w:r>
        <w:rPr>
          <w:sz w:val="42"/>
        </w:rPr>
        <w:t>各施工队应管好自己的施工人员，严禁在工地赌博﹑打架﹑喝酒</w:t>
      </w:r>
      <w:r>
        <w:rPr>
          <w:spacing w:val="-13"/>
          <w:sz w:val="42"/>
        </w:rPr>
        <w:t xml:space="preserve">等。一经发觉处予 </w:t>
      </w:r>
      <w:r>
        <w:rPr>
          <w:sz w:val="42"/>
        </w:rPr>
        <w:t>500—1000</w:t>
      </w:r>
      <w:r>
        <w:rPr>
          <w:spacing w:val="-19"/>
          <w:sz w:val="42"/>
        </w:rPr>
        <w:t xml:space="preserve"> 元的罚款。</w:t>
      </w:r>
    </w:p>
    <w:p>
      <w:pPr>
        <w:pStyle w:val="ListParagraph"/>
        <w:numPr>
          <w:ilvl w:val="0"/>
          <w:numId w:val="10"/>
        </w:numPr>
        <w:tabs>
          <w:tab w:val="left" w:pos="469"/>
        </w:tabs>
        <w:spacing w:before="0" w:after="0" w:line="417" w:lineRule="auto"/>
        <w:ind w:left="137" w:right="835" w:firstLine="0"/>
        <w:jc w:val="left"/>
        <w:rPr>
          <w:rFonts w:ascii="Cambria" w:eastAsia="Cambria"/>
          <w:sz w:val="40"/>
        </w:rPr>
      </w:pPr>
      <w:r>
        <w:rPr>
          <w:sz w:val="42"/>
        </w:rPr>
        <w:t>施工方在施工经过中对可能出现的工地安全隐患应有自己的详细预防和管理措施。</w:t>
      </w:r>
    </w:p>
    <w:p>
      <w:pPr>
        <w:pStyle w:val="ListParagraph"/>
        <w:numPr>
          <w:ilvl w:val="0"/>
          <w:numId w:val="10"/>
        </w:numPr>
        <w:tabs>
          <w:tab w:val="left" w:pos="455"/>
        </w:tabs>
        <w:spacing w:before="0" w:after="0" w:line="417" w:lineRule="auto"/>
        <w:ind w:left="137" w:right="430" w:firstLine="0"/>
        <w:jc w:val="left"/>
        <w:rPr>
          <w:rFonts w:ascii="Cambria" w:eastAsia="Cambria" w:hAnsi="Cambria"/>
          <w:sz w:val="40"/>
        </w:rPr>
      </w:pPr>
      <w:r>
        <w:rPr>
          <w:sz w:val="42"/>
        </w:rPr>
        <w:t>禁止施工人员在工地生火煮饭﹑住宿，不准在工地随地大小便，此</w:t>
      </w:r>
      <w:r>
        <w:rPr>
          <w:spacing w:val="-11"/>
          <w:w w:val="95"/>
          <w:sz w:val="42"/>
        </w:rPr>
        <w:t xml:space="preserve">等现象一经发觉处予 </w:t>
      </w:r>
      <w:r>
        <w:rPr>
          <w:rFonts w:ascii="Cambria" w:eastAsia="Cambria" w:hAnsi="Cambria"/>
          <w:w w:val="95"/>
          <w:sz w:val="42"/>
        </w:rPr>
        <w:t>100</w:t>
      </w:r>
      <w:r>
        <w:rPr>
          <w:w w:val="95"/>
          <w:sz w:val="42"/>
        </w:rPr>
        <w:t>—</w:t>
      </w:r>
      <w:r>
        <w:rPr>
          <w:rFonts w:ascii="Cambria" w:eastAsia="Cambria" w:hAnsi="Cambria"/>
          <w:w w:val="95"/>
          <w:sz w:val="42"/>
        </w:rPr>
        <w:t>200</w:t>
      </w:r>
      <w:r>
        <w:rPr>
          <w:rFonts w:ascii="Cambria" w:eastAsia="Cambria" w:hAnsi="Cambria"/>
          <w:spacing w:val="20"/>
          <w:w w:val="95"/>
          <w:sz w:val="42"/>
        </w:rPr>
        <w:t xml:space="preserve"> </w:t>
      </w:r>
      <w:r>
        <w:rPr>
          <w:w w:val="95"/>
          <w:sz w:val="42"/>
        </w:rPr>
        <w:t>元罚款。</w:t>
      </w:r>
    </w:p>
    <w:p>
      <w:pPr>
        <w:pStyle w:val="ListParagraph"/>
        <w:numPr>
          <w:ilvl w:val="0"/>
          <w:numId w:val="10"/>
        </w:numPr>
        <w:tabs>
          <w:tab w:val="left" w:pos="667"/>
        </w:tabs>
        <w:spacing w:before="0" w:after="0" w:line="537" w:lineRule="exact"/>
        <w:ind w:left="666" w:right="0" w:hanging="530"/>
        <w:jc w:val="left"/>
        <w:rPr>
          <w:rFonts w:ascii="Cambria" w:eastAsia="Cambria"/>
          <w:sz w:val="40"/>
        </w:rPr>
      </w:pPr>
      <w:r>
        <w:rPr>
          <w:sz w:val="42"/>
        </w:rPr>
        <w:t>要求施工队对所用材料画出详细的开料单，交项目部审核。</w:t>
      </w:r>
    </w:p>
    <w:p>
      <w:pPr>
        <w:pStyle w:val="ListParagraph"/>
        <w:numPr>
          <w:ilvl w:val="0"/>
          <w:numId w:val="10"/>
        </w:numPr>
        <w:tabs>
          <w:tab w:val="left" w:pos="665"/>
        </w:tabs>
        <w:spacing w:before="397" w:after="0" w:line="240" w:lineRule="auto"/>
        <w:ind w:left="664" w:right="0" w:hanging="528"/>
        <w:jc w:val="left"/>
        <w:rPr>
          <w:rFonts w:ascii="Cambria" w:eastAsia="Cambria"/>
          <w:sz w:val="40"/>
        </w:rPr>
      </w:pPr>
      <w:r>
        <w:rPr>
          <w:sz w:val="42"/>
        </w:rPr>
        <w:t>装饰公司工程质量应按所签合同保质完成，如施工质量达不到合</w:t>
      </w:r>
    </w:p>
    <w:p>
      <w:pPr>
        <w:spacing w:after="0" w:line="240" w:lineRule="auto"/>
        <w:jc w:val="left"/>
        <w:rPr>
          <w:rFonts w:ascii="Cambria" w:eastAsia="Cambria"/>
          <w:sz w:val="40"/>
        </w:rPr>
        <w:sectPr>
          <w:pgSz w:w="17860" w:h="25260"/>
          <w:pgMar w:top="1560" w:right="2200" w:bottom="280" w:left="2560" w:header="1160" w:footer="0"/>
          <w:cols w:space="708"/>
        </w:sectPr>
      </w:pPr>
    </w:p>
    <w:p>
      <w:pPr>
        <w:pStyle w:val="BodyText"/>
        <w:ind w:left="0"/>
        <w:rPr>
          <w:sz w:val="20"/>
        </w:rPr>
      </w:pPr>
    </w:p>
    <w:p>
      <w:pPr>
        <w:pStyle w:val="BodyText"/>
        <w:spacing w:before="181"/>
      </w:pPr>
      <w:r>
        <w:t>同要求应立刻整改，如限期内仍不合格，甲方有权让其退场。</w:t>
      </w:r>
    </w:p>
    <w:p>
      <w:pPr>
        <w:pStyle w:val="BodyText"/>
        <w:ind w:left="0"/>
        <w:rPr>
          <w:sz w:val="31"/>
        </w:rPr>
      </w:pPr>
    </w:p>
    <w:p>
      <w:pPr>
        <w:pStyle w:val="ListParagraph"/>
        <w:numPr>
          <w:ilvl w:val="0"/>
          <w:numId w:val="10"/>
        </w:numPr>
        <w:tabs>
          <w:tab w:val="left" w:pos="875"/>
        </w:tabs>
        <w:spacing w:before="0" w:after="0" w:line="240" w:lineRule="auto"/>
        <w:ind w:left="875" w:right="0" w:hanging="738"/>
        <w:jc w:val="left"/>
        <w:rPr>
          <w:rFonts w:ascii="Cambria" w:eastAsia="Cambria"/>
          <w:sz w:val="42"/>
        </w:rPr>
      </w:pPr>
      <w:r>
        <w:rPr>
          <w:sz w:val="42"/>
        </w:rPr>
        <w:t>各施工队在施工期间负责各自工区的清洁卫生。</w:t>
      </w:r>
    </w:p>
    <w:p>
      <w:pPr>
        <w:pStyle w:val="ListParagraph"/>
        <w:numPr>
          <w:ilvl w:val="0"/>
          <w:numId w:val="10"/>
        </w:numPr>
        <w:tabs>
          <w:tab w:val="left" w:pos="981"/>
        </w:tabs>
        <w:spacing w:before="398" w:after="0" w:line="240" w:lineRule="auto"/>
        <w:ind w:left="980" w:right="0" w:hanging="844"/>
        <w:jc w:val="left"/>
        <w:rPr>
          <w:rFonts w:ascii="Cambria" w:eastAsia="Cambria"/>
          <w:sz w:val="40"/>
        </w:rPr>
      </w:pPr>
      <w:r>
        <w:rPr>
          <w:sz w:val="42"/>
        </w:rPr>
        <w:t>督促施工单位做好成品保护工作。</w:t>
      </w:r>
    </w:p>
    <w:p>
      <w:pPr>
        <w:pStyle w:val="Heading2"/>
        <w:spacing w:before="398" w:line="240" w:lineRule="auto"/>
        <w:ind w:left="137" w:firstLine="0"/>
      </w:pPr>
      <w:r>
        <w:rPr>
          <w:spacing w:val="6"/>
        </w:rPr>
        <w:t>五、 主要分部工程的施工方案和技术措施</w:t>
      </w:r>
    </w:p>
    <w:p>
      <w:pPr>
        <w:pStyle w:val="BodyText"/>
        <w:spacing w:before="1"/>
        <w:ind w:left="0"/>
        <w:rPr>
          <w:b/>
          <w:sz w:val="31"/>
        </w:rPr>
      </w:pPr>
    </w:p>
    <w:p>
      <w:pPr>
        <w:pStyle w:val="BodyText"/>
      </w:pPr>
      <w:r>
        <w:t>（一）</w:t>
      </w:r>
      <w:r>
        <w:rPr>
          <w:rFonts w:ascii="Cambria" w:eastAsia="Cambria"/>
        </w:rPr>
        <w:t>GRC</w:t>
      </w:r>
      <w:r>
        <w:rPr>
          <w:rFonts w:ascii="Cambria" w:eastAsia="Cambria"/>
          <w:spacing w:val="33"/>
        </w:rPr>
        <w:t xml:space="preserve"> </w:t>
      </w:r>
      <w:r>
        <w:t>工程施工方案及措施</w:t>
      </w:r>
    </w:p>
    <w:p>
      <w:pPr>
        <w:pStyle w:val="ListParagraph"/>
        <w:numPr>
          <w:ilvl w:val="0"/>
          <w:numId w:val="9"/>
        </w:numPr>
        <w:tabs>
          <w:tab w:val="left" w:pos="1193"/>
        </w:tabs>
        <w:spacing w:before="398" w:after="0" w:line="240" w:lineRule="auto"/>
        <w:ind w:left="1192" w:right="0" w:hanging="1056"/>
        <w:jc w:val="left"/>
        <w:rPr>
          <w:sz w:val="42"/>
        </w:rPr>
      </w:pPr>
      <w:r>
        <w:rPr>
          <w:sz w:val="42"/>
        </w:rPr>
        <w:t>工艺流程</w:t>
      </w:r>
    </w:p>
    <w:p>
      <w:pPr>
        <w:pStyle w:val="BodyText"/>
        <w:tabs>
          <w:tab w:val="left" w:pos="2023"/>
          <w:tab w:val="left" w:pos="3917"/>
          <w:tab w:val="left" w:pos="5804"/>
          <w:tab w:val="left" w:pos="7694"/>
          <w:tab w:val="left" w:pos="9584"/>
        </w:tabs>
        <w:spacing w:before="398"/>
      </w:pPr>
      <w:r>
        <w:drawing>
          <wp:anchor distT="0" distB="0" distL="0" distR="0" simplePos="0" relativeHeight="251660288" behindDoc="1" locked="0" layoutInCell="1" allowOverlap="1">
            <wp:simplePos x="0" y="0"/>
            <wp:positionH relativeFrom="page">
              <wp:posOffset>2311400</wp:posOffset>
            </wp:positionH>
            <wp:positionV relativeFrom="paragraph">
              <wp:posOffset>395732</wp:posOffset>
            </wp:positionV>
            <wp:extent cx="533400" cy="1270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xmlns:r="http://schemas.openxmlformats.org/officeDocument/2006/relationships" r:embed="rId4" cstate="print"/>
                    <a:stretch>
                      <a:fillRect/>
                    </a:stretch>
                  </pic:blipFill>
                  <pic:spPr>
                    <a:xfrm>
                      <a:off x="0" y="0"/>
                      <a:ext cx="533400" cy="127000"/>
                    </a:xfrm>
                    <a:prstGeom prst="rect">
                      <a:avLst/>
                    </a:prstGeom>
                  </pic:spPr>
                </pic:pic>
              </a:graphicData>
            </a:graphic>
          </wp:anchor>
        </w:drawing>
      </w:r>
      <w:r>
        <w:drawing>
          <wp:anchor distT="0" distB="0" distL="0" distR="0" simplePos="0" relativeHeight="251661312" behindDoc="1" locked="0" layoutInCell="1" allowOverlap="1">
            <wp:simplePos x="0" y="0"/>
            <wp:positionH relativeFrom="page">
              <wp:posOffset>5905500</wp:posOffset>
            </wp:positionH>
            <wp:positionV relativeFrom="paragraph">
              <wp:posOffset>395732</wp:posOffset>
            </wp:positionV>
            <wp:extent cx="546100" cy="1270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xmlns:r="http://schemas.openxmlformats.org/officeDocument/2006/relationships" r:embed="rId5" cstate="print"/>
                    <a:stretch>
                      <a:fillRect/>
                    </a:stretch>
                  </pic:blipFill>
                  <pic:spPr>
                    <a:xfrm>
                      <a:off x="0" y="0"/>
                      <a:ext cx="546100" cy="127000"/>
                    </a:xfrm>
                    <a:prstGeom prst="rect">
                      <a:avLst/>
                    </a:prstGeom>
                  </pic:spPr>
                </pic:pic>
              </a:graphicData>
            </a:graphic>
          </wp:anchor>
        </w:drawing>
      </w:r>
      <w:r>
        <w:drawing>
          <wp:anchor distT="0" distB="0" distL="0" distR="0" simplePos="0" relativeHeight="251662336" behindDoc="1" locked="0" layoutInCell="1" allowOverlap="1">
            <wp:simplePos x="0" y="0"/>
            <wp:positionH relativeFrom="page">
              <wp:posOffset>3505200</wp:posOffset>
            </wp:positionH>
            <wp:positionV relativeFrom="paragraph">
              <wp:posOffset>395732</wp:posOffset>
            </wp:positionV>
            <wp:extent cx="546100" cy="1270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pic:cNvPicPr/>
                  </pic:nvPicPr>
                  <pic:blipFill>
                    <a:blip xmlns:r="http://schemas.openxmlformats.org/officeDocument/2006/relationships" r:embed="rId5" cstate="print"/>
                    <a:stretch>
                      <a:fillRect/>
                    </a:stretch>
                  </pic:blipFill>
                  <pic:spPr>
                    <a:xfrm>
                      <a:off x="0" y="0"/>
                      <a:ext cx="546100" cy="127000"/>
                    </a:xfrm>
                    <a:prstGeom prst="rect">
                      <a:avLst/>
                    </a:prstGeom>
                  </pic:spPr>
                </pic:pic>
              </a:graphicData>
            </a:graphic>
          </wp:anchor>
        </w:drawing>
      </w:r>
      <w:r>
        <w:drawing>
          <wp:anchor distT="0" distB="0" distL="0" distR="0" simplePos="0" relativeHeight="251663360" behindDoc="1" locked="0" layoutInCell="1" allowOverlap="1">
            <wp:simplePos x="0" y="0"/>
            <wp:positionH relativeFrom="page">
              <wp:posOffset>4711700</wp:posOffset>
            </wp:positionH>
            <wp:positionV relativeFrom="paragraph">
              <wp:posOffset>395732</wp:posOffset>
            </wp:positionV>
            <wp:extent cx="533400" cy="127000"/>
            <wp:effectExtent l="0" t="0" r="0" b="0"/>
            <wp:wrapNone/>
            <wp:docPr id="9"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2.png"/>
                    <pic:cNvPicPr/>
                  </pic:nvPicPr>
                  <pic:blipFill>
                    <a:blip xmlns:r="http://schemas.openxmlformats.org/officeDocument/2006/relationships" r:embed="rId4" cstate="print"/>
                    <a:stretch>
                      <a:fillRect/>
                    </a:stretch>
                  </pic:blipFill>
                  <pic:spPr>
                    <a:xfrm>
                      <a:off x="0" y="0"/>
                      <a:ext cx="533400" cy="1270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7112000</wp:posOffset>
            </wp:positionH>
            <wp:positionV relativeFrom="paragraph">
              <wp:posOffset>395732</wp:posOffset>
            </wp:positionV>
            <wp:extent cx="533400" cy="127000"/>
            <wp:effectExtent l="0" t="0" r="0" b="0"/>
            <wp:wrapNone/>
            <wp:docPr id="11"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2.png"/>
                    <pic:cNvPicPr/>
                  </pic:nvPicPr>
                  <pic:blipFill>
                    <a:blip xmlns:r="http://schemas.openxmlformats.org/officeDocument/2006/relationships" r:embed="rId4" cstate="print"/>
                    <a:stretch>
                      <a:fillRect/>
                    </a:stretch>
                  </pic:blipFill>
                  <pic:spPr>
                    <a:xfrm>
                      <a:off x="0" y="0"/>
                      <a:ext cx="533400" cy="127000"/>
                    </a:xfrm>
                    <a:prstGeom prst="rect">
                      <a:avLst/>
                    </a:prstGeom>
                  </pic:spPr>
                </pic:pic>
              </a:graphicData>
            </a:graphic>
          </wp:anchor>
        </w:drawing>
      </w:r>
      <w:r>
        <w:t>开模</w:t>
        <w:tab/>
        <w:t>制作</w:t>
        <w:tab/>
        <w:t>出模</w:t>
        <w:tab/>
        <w:t>进场</w:t>
        <w:tab/>
        <w:t>安装</w:t>
        <w:tab/>
        <w:t>调整及修补</w:t>
      </w:r>
    </w:p>
    <w:p>
      <w:pPr>
        <w:pStyle w:val="BodyText"/>
        <w:spacing w:before="1"/>
        <w:ind w:left="0"/>
        <w:rPr>
          <w:sz w:val="31"/>
        </w:rPr>
      </w:pPr>
    </w:p>
    <w:p>
      <w:pPr>
        <w:pStyle w:val="ListParagraph"/>
        <w:numPr>
          <w:ilvl w:val="0"/>
          <w:numId w:val="9"/>
        </w:numPr>
        <w:tabs>
          <w:tab w:val="left" w:pos="1193"/>
        </w:tabs>
        <w:spacing w:before="0" w:after="0" w:line="240" w:lineRule="auto"/>
        <w:ind w:left="1192" w:right="0" w:hanging="1056"/>
        <w:jc w:val="left"/>
        <w:rPr>
          <w:sz w:val="42"/>
        </w:rPr>
      </w:pPr>
      <w:r>
        <w:rPr>
          <w:sz w:val="42"/>
        </w:rPr>
        <w:t>安装施工方案</w:t>
      </w:r>
    </w:p>
    <w:p>
      <w:pPr>
        <w:pStyle w:val="BodyText"/>
        <w:spacing w:before="398" w:line="417" w:lineRule="auto"/>
        <w:ind w:right="324"/>
      </w:pPr>
      <w:r>
        <w:t>首先是仿真石柱的进场安装，在石柱的安装经过中应着重以下几点：</w:t>
      </w:r>
      <w:r>
        <w:rPr>
          <w:spacing w:val="-207"/>
        </w:rPr>
        <w:t xml:space="preserve"> </w:t>
      </w:r>
      <w:r>
        <w:t>柱脚离地面高度统一在同一水平面上，预留开关、插座位置。大柱柱</w:t>
      </w:r>
      <w:r>
        <w:rPr>
          <w:spacing w:val="-10"/>
        </w:rPr>
        <w:t>身侧面应预埋膨胀螺栓和钢筋，以便以后的挂件生根。其次柱子安装</w:t>
      </w:r>
      <w:r>
        <w:t>应做到尺寸到位，焊接坚固，立面平直，线条通顺，安装完毕后对缺楞掉角及接缝应进行修补。</w:t>
      </w:r>
    </w:p>
    <w:p>
      <w:pPr>
        <w:pStyle w:val="BodyText"/>
        <w:spacing w:line="537" w:lineRule="exact"/>
      </w:pPr>
      <w:r>
        <w:t>（二）木制作部分施工方案及措施</w:t>
      </w:r>
    </w:p>
    <w:p>
      <w:pPr>
        <w:pStyle w:val="BodyText"/>
        <w:spacing w:before="1"/>
        <w:ind w:left="0"/>
        <w:rPr>
          <w:sz w:val="31"/>
        </w:rPr>
      </w:pPr>
    </w:p>
    <w:p>
      <w:pPr>
        <w:pStyle w:val="ListParagraph"/>
        <w:numPr>
          <w:ilvl w:val="0"/>
          <w:numId w:val="8"/>
        </w:numPr>
        <w:tabs>
          <w:tab w:val="left" w:pos="1217"/>
        </w:tabs>
        <w:spacing w:before="0" w:after="0" w:line="240" w:lineRule="auto"/>
        <w:ind w:left="1217" w:right="0" w:hanging="1080"/>
        <w:jc w:val="left"/>
        <w:rPr>
          <w:sz w:val="42"/>
        </w:rPr>
      </w:pPr>
      <w:r>
        <w:rPr>
          <w:sz w:val="42"/>
        </w:rPr>
        <w:t>工艺流程</w:t>
      </w:r>
    </w:p>
    <w:p>
      <w:pPr>
        <w:pStyle w:val="BodyText"/>
        <w:tabs>
          <w:tab w:val="left" w:pos="3284"/>
          <w:tab w:val="left" w:pos="3946"/>
          <w:tab w:val="left" w:pos="6275"/>
          <w:tab w:val="left" w:pos="7068"/>
        </w:tabs>
        <w:spacing w:before="398" w:line="417" w:lineRule="auto"/>
        <w:ind w:right="503"/>
      </w:pPr>
      <w:r>
        <w:drawing>
          <wp:anchor distT="0" distB="0" distL="0" distR="0" simplePos="0" relativeHeight="251665408" behindDoc="1" locked="0" layoutInCell="1" allowOverlap="1">
            <wp:simplePos x="0" y="0"/>
            <wp:positionH relativeFrom="page">
              <wp:posOffset>3505200</wp:posOffset>
            </wp:positionH>
            <wp:positionV relativeFrom="paragraph">
              <wp:posOffset>392811</wp:posOffset>
            </wp:positionV>
            <wp:extent cx="546100" cy="127000"/>
            <wp:effectExtent l="0" t="0" r="0" b="0"/>
            <wp:wrapNone/>
            <wp:docPr id="13"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4.png"/>
                    <pic:cNvPicPr/>
                  </pic:nvPicPr>
                  <pic:blipFill>
                    <a:blip xmlns:r="http://schemas.openxmlformats.org/officeDocument/2006/relationships" r:embed="rId6" cstate="print"/>
                    <a:stretch>
                      <a:fillRect/>
                    </a:stretch>
                  </pic:blipFill>
                  <pic:spPr>
                    <a:xfrm>
                      <a:off x="0" y="0"/>
                      <a:ext cx="546100" cy="127000"/>
                    </a:xfrm>
                    <a:prstGeom prst="rect">
                      <a:avLst/>
                    </a:prstGeom>
                  </pic:spPr>
                </pic:pic>
              </a:graphicData>
            </a:graphic>
          </wp:anchor>
        </w:drawing>
      </w:r>
      <w:r>
        <w:drawing>
          <wp:anchor distT="0" distB="0" distL="0" distR="0" simplePos="0" relativeHeight="251666432" behindDoc="1" locked="0" layoutInCell="1" allowOverlap="1">
            <wp:simplePos x="0" y="0"/>
            <wp:positionH relativeFrom="page">
              <wp:posOffset>5003800</wp:posOffset>
            </wp:positionH>
            <wp:positionV relativeFrom="paragraph">
              <wp:posOffset>392811</wp:posOffset>
            </wp:positionV>
            <wp:extent cx="546100" cy="127000"/>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xmlns:r="http://schemas.openxmlformats.org/officeDocument/2006/relationships" r:embed="rId7" cstate="print"/>
                    <a:stretch>
                      <a:fillRect/>
                    </a:stretch>
                  </pic:blipFill>
                  <pic:spPr>
                    <a:xfrm>
                      <a:off x="0" y="0"/>
                      <a:ext cx="546100" cy="127000"/>
                    </a:xfrm>
                    <a:prstGeom prst="rect">
                      <a:avLst/>
                    </a:prstGeom>
                  </pic:spPr>
                </pic:pic>
              </a:graphicData>
            </a:graphic>
          </wp:anchor>
        </w:drawing>
      </w:r>
      <w:r>
        <w:drawing>
          <wp:anchor distT="0" distB="0" distL="0" distR="0" simplePos="0" relativeHeight="251667456" behindDoc="1" locked="0" layoutInCell="1" allowOverlap="1">
            <wp:simplePos x="0" y="0"/>
            <wp:positionH relativeFrom="page">
              <wp:posOffset>3009900</wp:posOffset>
            </wp:positionH>
            <wp:positionV relativeFrom="paragraph">
              <wp:posOffset>989711</wp:posOffset>
            </wp:positionV>
            <wp:extent cx="533400" cy="127000"/>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xmlns:r="http://schemas.openxmlformats.org/officeDocument/2006/relationships" r:embed="rId8" cstate="print"/>
                    <a:stretch>
                      <a:fillRect/>
                    </a:stretch>
                  </pic:blipFill>
                  <pic:spPr>
                    <a:xfrm>
                      <a:off x="0" y="0"/>
                      <a:ext cx="533400" cy="1270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5511800</wp:posOffset>
            </wp:positionH>
            <wp:positionV relativeFrom="paragraph">
              <wp:posOffset>989711</wp:posOffset>
            </wp:positionV>
            <wp:extent cx="533400" cy="127000"/>
            <wp:effectExtent l="0" t="0" r="0" b="0"/>
            <wp:wrapNone/>
            <wp:docPr id="19"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7.png"/>
                    <pic:cNvPicPr/>
                  </pic:nvPicPr>
                  <pic:blipFill>
                    <a:blip xmlns:r="http://schemas.openxmlformats.org/officeDocument/2006/relationships" r:embed="rId4" cstate="print"/>
                    <a:stretch>
                      <a:fillRect/>
                    </a:stretch>
                  </pic:blipFill>
                  <pic:spPr>
                    <a:xfrm>
                      <a:off x="0" y="0"/>
                      <a:ext cx="533400" cy="127000"/>
                    </a:xfrm>
                    <a:prstGeom prst="rect">
                      <a:avLst/>
                    </a:prstGeom>
                  </pic:spPr>
                </pic:pic>
              </a:graphicData>
            </a:graphic>
          </wp:anchor>
        </w:drawing>
      </w:r>
      <w:r>
        <w:t>现场图纸交底</w:t>
        <w:tab/>
        <w:tab/>
        <w:t>开料图</w:t>
        <w:tab/>
        <w:t>木龙骨、大芯板、九厘板基层（刷防火涂料）</w:t>
        <w:tab/>
        <w:t>面层细部调整</w:t>
        <w:tab/>
        <w:tab/>
        <w:t>分部验收</w:t>
      </w:r>
    </w:p>
    <w:p>
      <w:pPr>
        <w:pStyle w:val="ListParagraph"/>
        <w:numPr>
          <w:ilvl w:val="0"/>
          <w:numId w:val="8"/>
        </w:numPr>
        <w:tabs>
          <w:tab w:val="left" w:pos="1193"/>
        </w:tabs>
        <w:spacing w:before="0" w:after="0" w:line="537" w:lineRule="exact"/>
        <w:ind w:left="1192" w:right="0" w:hanging="1056"/>
        <w:jc w:val="left"/>
        <w:rPr>
          <w:sz w:val="42"/>
        </w:rPr>
      </w:pPr>
      <w:r>
        <w:rPr>
          <w:sz w:val="42"/>
        </w:rPr>
        <w:t>保证施工方案及措施</w:t>
      </w:r>
    </w:p>
    <w:p>
      <w:pPr>
        <w:pStyle w:val="BodyText"/>
        <w:spacing w:before="398" w:line="417" w:lineRule="auto"/>
        <w:ind w:right="271"/>
      </w:pPr>
      <w:r>
        <w:rPr>
          <w:spacing w:val="-13"/>
        </w:rPr>
        <w:t>材料的品种、质量和有关标准规定必需符合设计要求，对装修施工队</w:t>
      </w:r>
      <w:r>
        <w:rPr>
          <w:spacing w:val="-19"/>
        </w:rPr>
        <w:t>主要从以下几个方面进行质量把关，吊顶吊杆间距、规格、坚固程度，</w:t>
      </w:r>
      <w:r>
        <w:rPr>
          <w:spacing w:val="-207"/>
        </w:rPr>
        <w:t xml:space="preserve"> </w:t>
      </w:r>
      <w:r>
        <w:t>主、副龙骨间距，挂件安装，各方面进行考核。木制作部分所做基层</w:t>
      </w:r>
      <w:r>
        <w:rPr>
          <w:spacing w:val="-22"/>
        </w:rPr>
        <w:t>需涂防火涂料，元钉钉眼应刷防锈漆，按图下料，施工工艺接缝对齐，</w:t>
      </w:r>
    </w:p>
    <w:p>
      <w:pPr>
        <w:spacing w:after="0" w:line="417" w:lineRule="auto"/>
        <w:sectPr>
          <w:pgSz w:w="17860" w:h="25260"/>
          <w:pgMar w:top="1560" w:right="2200" w:bottom="280" w:left="2560" w:header="1160" w:footer="0"/>
          <w:cols w:space="708"/>
        </w:sectPr>
      </w:pPr>
    </w:p>
    <w:p>
      <w:pPr>
        <w:pStyle w:val="BodyText"/>
        <w:ind w:left="0"/>
        <w:rPr>
          <w:sz w:val="20"/>
        </w:rPr>
      </w:pPr>
    </w:p>
    <w:p>
      <w:pPr>
        <w:pStyle w:val="BodyText"/>
        <w:spacing w:before="181"/>
      </w:pPr>
      <w:r>
        <w:t>粘、钉平整，缝隙宽度均匀全都等方面对其进行考核。</w:t>
      </w:r>
    </w:p>
    <w:p>
      <w:pPr>
        <w:pStyle w:val="BodyText"/>
        <w:ind w:left="0"/>
        <w:rPr>
          <w:sz w:val="31"/>
        </w:rPr>
      </w:pPr>
    </w:p>
    <w:p>
      <w:pPr>
        <w:pStyle w:val="BodyText"/>
      </w:pPr>
      <w:r>
        <w:t>（三）公共部分天花吊顶及方案措施</w:t>
      </w:r>
    </w:p>
    <w:p>
      <w:pPr>
        <w:pStyle w:val="BodyText"/>
        <w:spacing w:before="1"/>
        <w:ind w:left="0"/>
        <w:rPr>
          <w:sz w:val="31"/>
        </w:rPr>
      </w:pPr>
    </w:p>
    <w:p>
      <w:pPr>
        <w:pStyle w:val="ListParagraph"/>
        <w:numPr>
          <w:ilvl w:val="0"/>
          <w:numId w:val="7"/>
        </w:numPr>
        <w:tabs>
          <w:tab w:val="left" w:pos="1193"/>
        </w:tabs>
        <w:spacing w:before="0" w:after="0" w:line="240" w:lineRule="auto"/>
        <w:ind w:left="1192" w:right="0" w:hanging="1056"/>
        <w:jc w:val="left"/>
        <w:rPr>
          <w:sz w:val="42"/>
        </w:rPr>
      </w:pPr>
      <w:r>
        <w:rPr>
          <w:sz w:val="42"/>
        </w:rPr>
        <w:t>工艺流程</w:t>
      </w:r>
    </w:p>
    <w:p>
      <w:pPr>
        <w:pStyle w:val="BodyText"/>
        <w:spacing w:before="1"/>
        <w:ind w:left="0"/>
        <w:rPr>
          <w:sz w:val="31"/>
        </w:rPr>
      </w:pPr>
    </w:p>
    <w:p>
      <w:pPr>
        <w:pStyle w:val="BodyText"/>
        <w:tabs>
          <w:tab w:val="left" w:pos="3074"/>
          <w:tab w:val="left" w:pos="6642"/>
          <w:tab w:val="left" w:pos="10005"/>
        </w:tabs>
      </w:pPr>
      <w:r>
        <w:drawing>
          <wp:anchor distT="0" distB="0" distL="0" distR="0" simplePos="0" relativeHeight="251669504" behindDoc="1" locked="0" layoutInCell="1" allowOverlap="1">
            <wp:simplePos x="0" y="0"/>
            <wp:positionH relativeFrom="page">
              <wp:posOffset>2908300</wp:posOffset>
            </wp:positionH>
            <wp:positionV relativeFrom="paragraph">
              <wp:posOffset>148590</wp:posOffset>
            </wp:positionV>
            <wp:extent cx="533400" cy="127000"/>
            <wp:effectExtent l="0" t="0" r="0" b="0"/>
            <wp:wrapNone/>
            <wp:docPr id="21"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8.png"/>
                    <pic:cNvPicPr/>
                  </pic:nvPicPr>
                  <pic:blipFill>
                    <a:blip xmlns:r="http://schemas.openxmlformats.org/officeDocument/2006/relationships" r:embed="rId9" cstate="print"/>
                    <a:stretch>
                      <a:fillRect/>
                    </a:stretch>
                  </pic:blipFill>
                  <pic:spPr>
                    <a:xfrm>
                      <a:off x="0" y="0"/>
                      <a:ext cx="533400" cy="127000"/>
                    </a:xfrm>
                    <a:prstGeom prst="rect">
                      <a:avLst/>
                    </a:prstGeom>
                  </pic:spPr>
                </pic:pic>
              </a:graphicData>
            </a:graphic>
          </wp:anchor>
        </w:drawing>
      </w:r>
      <w:r>
        <w:drawing>
          <wp:anchor distT="0" distB="0" distL="0" distR="0" simplePos="0" relativeHeight="251670528" behindDoc="1" locked="0" layoutInCell="1" allowOverlap="1">
            <wp:simplePos x="0" y="0"/>
            <wp:positionH relativeFrom="page">
              <wp:posOffset>5105400</wp:posOffset>
            </wp:positionH>
            <wp:positionV relativeFrom="paragraph">
              <wp:posOffset>148590</wp:posOffset>
            </wp:positionV>
            <wp:extent cx="546100" cy="127000"/>
            <wp:effectExtent l="0" t="0" r="0" b="0"/>
            <wp:wrapNone/>
            <wp:docPr id="23"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9.png"/>
                    <pic:cNvPicPr/>
                  </pic:nvPicPr>
                  <pic:blipFill>
                    <a:blip xmlns:r="http://schemas.openxmlformats.org/officeDocument/2006/relationships" r:embed="rId10" cstate="print"/>
                    <a:stretch>
                      <a:fillRect/>
                    </a:stretch>
                  </pic:blipFill>
                  <pic:spPr>
                    <a:xfrm>
                      <a:off x="0" y="0"/>
                      <a:ext cx="546100" cy="127000"/>
                    </a:xfrm>
                    <a:prstGeom prst="rect">
                      <a:avLst/>
                    </a:prstGeom>
                  </pic:spPr>
                </pic:pic>
              </a:graphicData>
            </a:graphic>
          </wp:anchor>
        </w:drawing>
      </w:r>
      <w:r>
        <w:drawing>
          <wp:anchor distT="0" distB="0" distL="0" distR="0" simplePos="0" relativeHeight="251671552" behindDoc="1" locked="0" layoutInCell="1" allowOverlap="1">
            <wp:simplePos x="0" y="0"/>
            <wp:positionH relativeFrom="page">
              <wp:posOffset>7302500</wp:posOffset>
            </wp:positionH>
            <wp:positionV relativeFrom="paragraph">
              <wp:posOffset>148590</wp:posOffset>
            </wp:positionV>
            <wp:extent cx="546100" cy="127000"/>
            <wp:effectExtent l="0" t="0" r="0" b="0"/>
            <wp:wrapNone/>
            <wp:docPr id="25"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0.png"/>
                    <pic:cNvPicPr/>
                  </pic:nvPicPr>
                  <pic:blipFill>
                    <a:blip xmlns:r="http://schemas.openxmlformats.org/officeDocument/2006/relationships" r:embed="rId11" cstate="print"/>
                    <a:stretch>
                      <a:fillRect/>
                    </a:stretch>
                  </pic:blipFill>
                  <pic:spPr>
                    <a:xfrm>
                      <a:off x="0" y="0"/>
                      <a:ext cx="546100" cy="127000"/>
                    </a:xfrm>
                    <a:prstGeom prst="rect">
                      <a:avLst/>
                    </a:prstGeom>
                  </pic:spPr>
                </pic:pic>
              </a:graphicData>
            </a:graphic>
          </wp:anchor>
        </w:drawing>
      </w:r>
      <w:r>
        <w:drawing>
          <wp:anchor distT="0" distB="0" distL="0" distR="0" simplePos="0" relativeHeight="251658240" behindDoc="0" locked="0" layoutInCell="1" allowOverlap="1">
            <wp:simplePos x="0" y="0"/>
            <wp:positionH relativeFrom="page">
              <wp:posOffset>8712200</wp:posOffset>
            </wp:positionH>
            <wp:positionV relativeFrom="paragraph">
              <wp:posOffset>148590</wp:posOffset>
            </wp:positionV>
            <wp:extent cx="533400" cy="127000"/>
            <wp:effectExtent l="0" t="0" r="0" b="0"/>
            <wp:wrapNone/>
            <wp:docPr id="2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11.png"/>
                    <pic:cNvPicPr/>
                  </pic:nvPicPr>
                  <pic:blipFill>
                    <a:blip xmlns:r="http://schemas.openxmlformats.org/officeDocument/2006/relationships" r:embed="rId12" cstate="print"/>
                    <a:stretch>
                      <a:fillRect/>
                    </a:stretch>
                  </pic:blipFill>
                  <pic:spPr>
                    <a:xfrm>
                      <a:off x="0" y="0"/>
                      <a:ext cx="533400" cy="127000"/>
                    </a:xfrm>
                    <a:prstGeom prst="rect">
                      <a:avLst/>
                    </a:prstGeom>
                  </pic:spPr>
                </pic:pic>
              </a:graphicData>
            </a:graphic>
          </wp:anchor>
        </w:drawing>
      </w:r>
      <w:r>
        <w:t>安装吊杆</w:t>
        <w:tab/>
        <w:t>安装主龙骨</w:t>
        <w:tab/>
        <w:t>安装次龙骨</w:t>
        <w:tab/>
        <w:t>调平</w:t>
      </w:r>
    </w:p>
    <w:p>
      <w:pPr>
        <w:pStyle w:val="BodyText"/>
        <w:ind w:left="0"/>
        <w:rPr>
          <w:sz w:val="31"/>
        </w:rPr>
      </w:pPr>
    </w:p>
    <w:p>
      <w:pPr>
        <w:pStyle w:val="BodyText"/>
        <w:tabs>
          <w:tab w:val="left" w:pos="5174"/>
        </w:tabs>
        <w:spacing w:before="1"/>
      </w:pPr>
      <w:r>
        <w:drawing>
          <wp:anchor distT="0" distB="0" distL="0" distR="0" simplePos="0" relativeHeight="251672576" behindDoc="1" locked="0" layoutInCell="1" allowOverlap="1">
            <wp:simplePos x="0" y="0"/>
            <wp:positionH relativeFrom="page">
              <wp:posOffset>4203700</wp:posOffset>
            </wp:positionH>
            <wp:positionV relativeFrom="paragraph">
              <wp:posOffset>151765</wp:posOffset>
            </wp:positionV>
            <wp:extent cx="546100" cy="127000"/>
            <wp:effectExtent l="0" t="0" r="0" b="0"/>
            <wp:wrapNone/>
            <wp:docPr id="29"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image12.png"/>
                    <pic:cNvPicPr/>
                  </pic:nvPicPr>
                  <pic:blipFill>
                    <a:blip xmlns:r="http://schemas.openxmlformats.org/officeDocument/2006/relationships" r:embed="rId13" cstate="print"/>
                    <a:stretch>
                      <a:fillRect/>
                    </a:stretch>
                  </pic:blipFill>
                  <pic:spPr>
                    <a:xfrm>
                      <a:off x="0" y="0"/>
                      <a:ext cx="546100" cy="127000"/>
                    </a:xfrm>
                    <a:prstGeom prst="rect">
                      <a:avLst/>
                    </a:prstGeom>
                  </pic:spPr>
                </pic:pic>
              </a:graphicData>
            </a:graphic>
          </wp:anchor>
        </w:drawing>
      </w:r>
      <w:r>
        <w:t>安装铝格栅、石膏板</w:t>
        <w:tab/>
        <w:t>双飞粉、乳胶漆饰面（石膏板部分）</w:t>
      </w:r>
    </w:p>
    <w:p>
      <w:pPr>
        <w:pStyle w:val="BodyText"/>
        <w:ind w:left="0"/>
        <w:rPr>
          <w:sz w:val="31"/>
        </w:rPr>
      </w:pPr>
    </w:p>
    <w:p>
      <w:pPr>
        <w:pStyle w:val="ListParagraph"/>
        <w:numPr>
          <w:ilvl w:val="0"/>
          <w:numId w:val="7"/>
        </w:numPr>
        <w:tabs>
          <w:tab w:val="left" w:pos="1193"/>
        </w:tabs>
        <w:spacing w:before="0" w:after="0" w:line="240" w:lineRule="auto"/>
        <w:ind w:left="1192" w:right="0" w:hanging="1056"/>
        <w:jc w:val="left"/>
        <w:rPr>
          <w:sz w:val="42"/>
        </w:rPr>
      </w:pPr>
      <w:r>
        <w:rPr>
          <w:sz w:val="42"/>
        </w:rPr>
        <w:t>保证施工质量的措施</w:t>
      </w:r>
    </w:p>
    <w:p>
      <w:pPr>
        <w:pStyle w:val="BodyText"/>
        <w:spacing w:before="2"/>
        <w:ind w:left="0"/>
        <w:rPr>
          <w:sz w:val="31"/>
        </w:rPr>
      </w:pPr>
    </w:p>
    <w:p>
      <w:pPr>
        <w:pStyle w:val="BodyText"/>
        <w:spacing w:line="417" w:lineRule="auto"/>
        <w:ind w:right="324"/>
      </w:pPr>
      <w:r>
        <w:t>对顶面吊杆间距、规格、坚固程度，主、副龙骨间距，挂件安装，各方面进行层层考核。</w:t>
      </w:r>
    </w:p>
    <w:p>
      <w:pPr>
        <w:pStyle w:val="BodyText"/>
        <w:spacing w:line="537" w:lineRule="exact"/>
      </w:pPr>
      <w:r>
        <w:t>（四）地面铺设施工方案及措施</w:t>
      </w:r>
    </w:p>
    <w:p>
      <w:pPr>
        <w:pStyle w:val="BodyText"/>
        <w:ind w:left="0"/>
        <w:rPr>
          <w:sz w:val="31"/>
        </w:rPr>
      </w:pPr>
    </w:p>
    <w:p>
      <w:pPr>
        <w:pStyle w:val="ListParagraph"/>
        <w:numPr>
          <w:ilvl w:val="0"/>
          <w:numId w:val="6"/>
        </w:numPr>
        <w:tabs>
          <w:tab w:val="left" w:pos="1193"/>
        </w:tabs>
        <w:spacing w:before="0" w:after="0" w:line="240" w:lineRule="auto"/>
        <w:ind w:left="1192" w:right="0" w:hanging="1056"/>
        <w:jc w:val="left"/>
        <w:rPr>
          <w:sz w:val="42"/>
        </w:rPr>
      </w:pPr>
      <w:r>
        <w:rPr>
          <w:sz w:val="42"/>
        </w:rPr>
        <w:t>工艺流程</w:t>
      </w:r>
    </w:p>
    <w:p>
      <w:pPr>
        <w:pStyle w:val="BodyText"/>
        <w:spacing w:before="1"/>
        <w:ind w:left="0"/>
        <w:rPr>
          <w:sz w:val="31"/>
        </w:rPr>
      </w:pPr>
    </w:p>
    <w:p>
      <w:pPr>
        <w:pStyle w:val="BodyText"/>
        <w:tabs>
          <w:tab w:val="left" w:pos="3917"/>
          <w:tab w:val="left" w:pos="6855"/>
        </w:tabs>
      </w:pPr>
      <w:r>
        <w:drawing>
          <wp:anchor distT="0" distB="0" distL="0" distR="0" simplePos="0" relativeHeight="251673600" behindDoc="1" locked="0" layoutInCell="1" allowOverlap="1">
            <wp:simplePos x="0" y="0"/>
            <wp:positionH relativeFrom="page">
              <wp:posOffset>3403600</wp:posOffset>
            </wp:positionH>
            <wp:positionV relativeFrom="paragraph">
              <wp:posOffset>140462</wp:posOffset>
            </wp:positionV>
            <wp:extent cx="546100" cy="127000"/>
            <wp:effectExtent l="0" t="0" r="0" b="0"/>
            <wp:wrapNone/>
            <wp:docPr id="31"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13.png"/>
                    <pic:cNvPicPr/>
                  </pic:nvPicPr>
                  <pic:blipFill>
                    <a:blip xmlns:r="http://schemas.openxmlformats.org/officeDocument/2006/relationships" r:embed="rId7" cstate="print"/>
                    <a:stretch>
                      <a:fillRect/>
                    </a:stretch>
                  </pic:blipFill>
                  <pic:spPr>
                    <a:xfrm>
                      <a:off x="0" y="0"/>
                      <a:ext cx="546100" cy="1270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5308600</wp:posOffset>
            </wp:positionH>
            <wp:positionV relativeFrom="paragraph">
              <wp:posOffset>140462</wp:posOffset>
            </wp:positionV>
            <wp:extent cx="533400" cy="127000"/>
            <wp:effectExtent l="0" t="0" r="0" b="0"/>
            <wp:wrapNone/>
            <wp:docPr id="33"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image14.png"/>
                    <pic:cNvPicPr/>
                  </pic:nvPicPr>
                  <pic:blipFill>
                    <a:blip xmlns:r="http://schemas.openxmlformats.org/officeDocument/2006/relationships" r:embed="rId14" cstate="print"/>
                    <a:stretch>
                      <a:fillRect/>
                    </a:stretch>
                  </pic:blipFill>
                  <pic:spPr>
                    <a:xfrm>
                      <a:off x="0" y="0"/>
                      <a:ext cx="533400" cy="127000"/>
                    </a:xfrm>
                    <a:prstGeom prst="rect">
                      <a:avLst/>
                    </a:prstGeom>
                  </pic:spPr>
                </pic:pic>
              </a:graphicData>
            </a:graphic>
          </wp:anchor>
        </w:drawing>
      </w:r>
      <w:r>
        <w:t>统一找水平点</w:t>
        <w:tab/>
        <w:t>放水平线</w:t>
        <w:tab/>
        <w:t>地面铺设</w:t>
      </w:r>
    </w:p>
    <w:p>
      <w:pPr>
        <w:pStyle w:val="BodyText"/>
        <w:spacing w:before="1"/>
        <w:ind w:left="0"/>
        <w:rPr>
          <w:sz w:val="31"/>
        </w:rPr>
      </w:pPr>
    </w:p>
    <w:p>
      <w:pPr>
        <w:pStyle w:val="ListParagraph"/>
        <w:numPr>
          <w:ilvl w:val="0"/>
          <w:numId w:val="6"/>
        </w:numPr>
        <w:tabs>
          <w:tab w:val="left" w:pos="1193"/>
        </w:tabs>
        <w:spacing w:before="0" w:after="0" w:line="240" w:lineRule="auto"/>
        <w:ind w:left="1192" w:right="0" w:hanging="1056"/>
        <w:jc w:val="left"/>
        <w:rPr>
          <w:sz w:val="42"/>
        </w:rPr>
      </w:pPr>
      <w:r>
        <w:rPr>
          <w:sz w:val="42"/>
        </w:rPr>
        <w:t>保证施工质量的措施</w:t>
      </w:r>
    </w:p>
    <w:p>
      <w:pPr>
        <w:pStyle w:val="BodyText"/>
        <w:spacing w:before="1"/>
        <w:ind w:left="0"/>
        <w:rPr>
          <w:sz w:val="31"/>
        </w:rPr>
      </w:pPr>
    </w:p>
    <w:p>
      <w:pPr>
        <w:pStyle w:val="BodyText"/>
        <w:spacing w:line="417" w:lineRule="auto"/>
        <w:ind w:right="324"/>
      </w:pPr>
      <w:r>
        <w:t>为确保地砖铺设施工质量，对原材料（地砖）规格、几何尺寸、材料品牌以严格把关。做到：质量好、产品美观的材料才能进入现场，对</w:t>
      </w:r>
      <w:r>
        <w:rPr>
          <w:spacing w:val="4"/>
        </w:rPr>
        <w:t>无产品合格证的不予接受。对铺贴质量做到：严格按</w:t>
      </w:r>
      <w:r>
        <w:rPr>
          <w:rFonts w:ascii="Arial Narrow" w:eastAsia="Arial Narrow" w:hAnsi="Arial Narrow"/>
        </w:rPr>
        <w:t>QB1838</w:t>
      </w:r>
      <w:r>
        <w:t>——</w:t>
      </w:r>
      <w:r>
        <w:rPr>
          <w:rFonts w:ascii="Arial Narrow" w:eastAsia="Arial Narrow" w:hAnsi="Arial Narrow"/>
        </w:rPr>
        <w:t>93</w:t>
      </w:r>
      <w:r>
        <w:rPr>
          <w:rFonts w:ascii="Arial Narrow" w:eastAsia="Arial Narrow" w:hAnsi="Arial Narrow"/>
          <w:spacing w:val="1"/>
        </w:rPr>
        <w:t xml:space="preserve"> </w:t>
      </w:r>
      <w:r>
        <w:t>装饰工程质量规范严格把关。</w:t>
      </w:r>
    </w:p>
    <w:p>
      <w:pPr>
        <w:pStyle w:val="ListParagraph"/>
        <w:numPr>
          <w:ilvl w:val="0"/>
          <w:numId w:val="6"/>
        </w:numPr>
        <w:tabs>
          <w:tab w:val="left" w:pos="1193"/>
        </w:tabs>
        <w:spacing w:before="0" w:after="0" w:line="417" w:lineRule="auto"/>
        <w:ind w:left="137" w:right="8536" w:firstLine="0"/>
        <w:jc w:val="left"/>
        <w:rPr>
          <w:sz w:val="42"/>
        </w:rPr>
      </w:pPr>
      <w:r>
        <w:rPr>
          <w:sz w:val="42"/>
        </w:rPr>
        <w:t>铺贴地砖质量要求基层处理：</w:t>
      </w:r>
    </w:p>
    <w:p>
      <w:pPr>
        <w:pStyle w:val="ListParagraph"/>
        <w:numPr>
          <w:ilvl w:val="0"/>
          <w:numId w:val="5"/>
        </w:numPr>
        <w:tabs>
          <w:tab w:val="left" w:pos="455"/>
        </w:tabs>
        <w:spacing w:before="0" w:after="0" w:line="240" w:lineRule="auto"/>
        <w:ind w:left="454" w:right="0" w:hanging="318"/>
        <w:jc w:val="left"/>
        <w:rPr>
          <w:rFonts w:ascii="Arial Narrow" w:eastAsia="Arial Narrow"/>
          <w:sz w:val="40"/>
        </w:rPr>
      </w:pPr>
      <w:r>
        <w:rPr>
          <w:sz w:val="42"/>
        </w:rPr>
        <w:t>原材料：</w:t>
      </w:r>
    </w:p>
    <w:p>
      <w:pPr>
        <w:pStyle w:val="BodyText"/>
        <w:ind w:left="0"/>
        <w:rPr>
          <w:sz w:val="31"/>
        </w:rPr>
      </w:pPr>
    </w:p>
    <w:p>
      <w:pPr>
        <w:pStyle w:val="BodyText"/>
        <w:spacing w:line="417" w:lineRule="auto"/>
        <w:ind w:right="478"/>
      </w:pPr>
      <w:r>
        <w:rPr>
          <w:spacing w:val="-14"/>
        </w:rPr>
        <w:t>合格标准：各种面层所用板块的品种、质量必需符合设计要求和有关</w:t>
      </w:r>
      <w:r>
        <w:t>标准规定。</w:t>
      </w:r>
    </w:p>
    <w:p>
      <w:pPr>
        <w:pStyle w:val="BodyText"/>
        <w:spacing w:line="537" w:lineRule="exact"/>
      </w:pPr>
      <w:r>
        <w:t>检验方式：检查出厂合格证和检验报告。</w:t>
      </w:r>
    </w:p>
    <w:p>
      <w:pPr>
        <w:spacing w:after="0" w:line="537" w:lineRule="exact"/>
        <w:sectPr>
          <w:pgSz w:w="17860" w:h="25260"/>
          <w:pgMar w:top="1560" w:right="2200" w:bottom="280" w:left="2560" w:header="1160" w:footer="0"/>
          <w:cols w:space="708"/>
        </w:sectPr>
      </w:pPr>
    </w:p>
    <w:p>
      <w:pPr>
        <w:pStyle w:val="BodyText"/>
        <w:spacing w:before="9"/>
        <w:ind w:left="0"/>
        <w:rPr>
          <w:sz w:val="26"/>
        </w:rPr>
      </w:pPr>
    </w:p>
    <w:p>
      <w:pPr>
        <w:pStyle w:val="ListParagraph"/>
        <w:numPr>
          <w:ilvl w:val="0"/>
          <w:numId w:val="5"/>
        </w:numPr>
        <w:tabs>
          <w:tab w:val="left" w:pos="663"/>
        </w:tabs>
        <w:spacing w:before="95" w:after="0" w:line="240" w:lineRule="auto"/>
        <w:ind w:left="662" w:right="0" w:hanging="526"/>
        <w:jc w:val="left"/>
        <w:rPr>
          <w:rFonts w:ascii="Cambria" w:eastAsia="Cambria"/>
          <w:sz w:val="42"/>
        </w:rPr>
      </w:pPr>
      <w:r>
        <w:rPr>
          <w:sz w:val="42"/>
        </w:rPr>
        <w:t>面层与基层结合：</w:t>
      </w:r>
    </w:p>
    <w:p>
      <w:pPr>
        <w:pStyle w:val="BodyText"/>
        <w:spacing w:before="398" w:line="417" w:lineRule="auto"/>
        <w:ind w:right="745"/>
      </w:pPr>
      <w:r>
        <w:t>合格标准：面层与基层的结合（粘贴）必需坚固，无空鼓（脱胶）</w:t>
      </w:r>
      <w:r>
        <w:rPr>
          <w:spacing w:val="-207"/>
        </w:rPr>
        <w:t xml:space="preserve"> </w:t>
      </w:r>
      <w:r>
        <w:t>检验方式：用小锤轻击和观察检查。</w:t>
      </w:r>
    </w:p>
    <w:p>
      <w:pPr>
        <w:pStyle w:val="BodyText"/>
        <w:spacing w:line="537" w:lineRule="exact"/>
      </w:pPr>
      <w:r>
        <w:t>饰面要求：</w:t>
      </w:r>
    </w:p>
    <w:p>
      <w:pPr>
        <w:pStyle w:val="BodyText"/>
        <w:ind w:left="0"/>
        <w:rPr>
          <w:sz w:val="31"/>
        </w:rPr>
      </w:pPr>
    </w:p>
    <w:p>
      <w:pPr>
        <w:pStyle w:val="ListParagraph"/>
        <w:numPr>
          <w:ilvl w:val="0"/>
          <w:numId w:val="4"/>
        </w:numPr>
        <w:tabs>
          <w:tab w:val="left" w:pos="455"/>
        </w:tabs>
        <w:spacing w:before="0" w:after="0" w:line="240" w:lineRule="auto"/>
        <w:ind w:left="454" w:right="0" w:hanging="318"/>
        <w:jc w:val="left"/>
        <w:rPr>
          <w:sz w:val="42"/>
        </w:rPr>
      </w:pPr>
      <w:r>
        <w:rPr>
          <w:sz w:val="42"/>
        </w:rPr>
        <w:t>板块面层表面：</w:t>
      </w:r>
    </w:p>
    <w:p>
      <w:pPr>
        <w:pStyle w:val="BodyText"/>
        <w:spacing w:before="398" w:line="417" w:lineRule="auto"/>
        <w:ind w:right="324"/>
      </w:pPr>
      <w:r>
        <w:t>合格标准：表面洁净，图案清晰，色泽全都，接缝均匀，周边顺直，</w:t>
      </w:r>
      <w:r>
        <w:rPr>
          <w:spacing w:val="-207"/>
        </w:rPr>
        <w:t xml:space="preserve"> </w:t>
      </w:r>
      <w:r>
        <w:t>板块无裂纹、掉角和缺楞等现象。</w:t>
      </w:r>
    </w:p>
    <w:p>
      <w:pPr>
        <w:pStyle w:val="BodyText"/>
      </w:pPr>
      <w:r>
        <w:t>检验方式：观察检查。</w:t>
      </w:r>
    </w:p>
    <w:p>
      <w:pPr>
        <w:pStyle w:val="BodyText"/>
        <w:spacing w:before="1"/>
        <w:ind w:left="0"/>
        <w:rPr>
          <w:sz w:val="31"/>
        </w:rPr>
      </w:pPr>
    </w:p>
    <w:p>
      <w:pPr>
        <w:pStyle w:val="ListParagraph"/>
        <w:numPr>
          <w:ilvl w:val="0"/>
          <w:numId w:val="4"/>
        </w:numPr>
        <w:tabs>
          <w:tab w:val="left" w:pos="455"/>
        </w:tabs>
        <w:spacing w:before="0" w:after="0" w:line="240" w:lineRule="auto"/>
        <w:ind w:left="454" w:right="0" w:hanging="318"/>
        <w:jc w:val="left"/>
        <w:rPr>
          <w:sz w:val="42"/>
        </w:rPr>
      </w:pPr>
      <w:r>
        <w:rPr>
          <w:sz w:val="42"/>
        </w:rPr>
        <w:t>地漏及泛水：</w:t>
      </w:r>
    </w:p>
    <w:p>
      <w:pPr>
        <w:pStyle w:val="BodyText"/>
        <w:spacing w:before="398" w:line="417" w:lineRule="auto"/>
        <w:ind w:right="324"/>
      </w:pPr>
      <w:r>
        <w:t>合格标准：坡度符合设计要求，不倒泛水，无积水，与地漏（管道）</w:t>
      </w:r>
      <w:r>
        <w:rPr>
          <w:spacing w:val="-207"/>
        </w:rPr>
        <w:t xml:space="preserve"> </w:t>
      </w:r>
      <w:r>
        <w:t>结合处严密坚固，无渗漏。</w:t>
      </w:r>
    </w:p>
    <w:p>
      <w:pPr>
        <w:pStyle w:val="BodyText"/>
        <w:spacing w:line="537" w:lineRule="exact"/>
      </w:pPr>
      <w:r>
        <w:t>检验方式：观察检查，泼水检查。</w:t>
      </w:r>
    </w:p>
    <w:p>
      <w:pPr>
        <w:pStyle w:val="BodyText"/>
        <w:spacing w:before="1"/>
        <w:ind w:left="0"/>
        <w:rPr>
          <w:sz w:val="31"/>
        </w:rPr>
      </w:pPr>
    </w:p>
    <w:p>
      <w:pPr>
        <w:pStyle w:val="ListParagraph"/>
        <w:numPr>
          <w:ilvl w:val="0"/>
          <w:numId w:val="4"/>
        </w:numPr>
        <w:tabs>
          <w:tab w:val="left" w:pos="455"/>
        </w:tabs>
        <w:spacing w:before="0" w:after="0" w:line="240" w:lineRule="auto"/>
        <w:ind w:left="454" w:right="0" w:hanging="318"/>
        <w:jc w:val="left"/>
        <w:rPr>
          <w:sz w:val="42"/>
        </w:rPr>
      </w:pPr>
      <w:r>
        <w:rPr>
          <w:sz w:val="42"/>
        </w:rPr>
        <w:t>踢脚线：</w:t>
      </w:r>
    </w:p>
    <w:p>
      <w:pPr>
        <w:pStyle w:val="BodyText"/>
        <w:spacing w:before="398" w:line="417" w:lineRule="auto"/>
        <w:ind w:right="324"/>
      </w:pPr>
      <w:r>
        <w:t>合格标准：表面洁净，接缝平整均匀，高度全都；结合坚固，出墙厚度适宜，根本全都。</w:t>
      </w:r>
    </w:p>
    <w:p>
      <w:pPr>
        <w:pStyle w:val="BodyText"/>
        <w:spacing w:line="537" w:lineRule="exact"/>
      </w:pPr>
      <w:r>
        <w:t>检验方式：用小锤轻击和观察检查。</w:t>
      </w:r>
    </w:p>
    <w:p>
      <w:pPr>
        <w:pStyle w:val="BodyText"/>
        <w:spacing w:before="1"/>
        <w:ind w:left="0"/>
        <w:rPr>
          <w:sz w:val="31"/>
        </w:rPr>
      </w:pPr>
    </w:p>
    <w:p>
      <w:pPr>
        <w:pStyle w:val="ListParagraph"/>
        <w:numPr>
          <w:ilvl w:val="0"/>
          <w:numId w:val="4"/>
        </w:numPr>
        <w:tabs>
          <w:tab w:val="left" w:pos="455"/>
        </w:tabs>
        <w:spacing w:before="0" w:after="0" w:line="240" w:lineRule="auto"/>
        <w:ind w:left="454" w:right="0" w:hanging="318"/>
        <w:jc w:val="left"/>
        <w:rPr>
          <w:sz w:val="42"/>
        </w:rPr>
      </w:pPr>
      <w:r>
        <w:rPr>
          <w:sz w:val="42"/>
        </w:rPr>
        <w:t>楼梯踏步和台阶：</w:t>
      </w:r>
    </w:p>
    <w:p>
      <w:pPr>
        <w:pStyle w:val="BodyText"/>
        <w:spacing w:before="398" w:line="417" w:lineRule="auto"/>
        <w:ind w:right="466"/>
      </w:pPr>
      <w:r>
        <w:rPr>
          <w:spacing w:val="2"/>
          <w:w w:val="95"/>
        </w:rPr>
        <w:t>合格标准：缝隙宽度根本全都，相邻两步高差不超过</w:t>
      </w:r>
      <w:r>
        <w:rPr>
          <w:rFonts w:ascii="Cambria" w:eastAsia="Cambria"/>
          <w:w w:val="95"/>
        </w:rPr>
        <w:t>10mm</w:t>
      </w:r>
      <w:r>
        <w:rPr>
          <w:w w:val="95"/>
        </w:rPr>
        <w:t>，防滑条</w:t>
      </w:r>
      <w:r>
        <w:rPr>
          <w:spacing w:val="1"/>
          <w:w w:val="95"/>
        </w:rPr>
        <w:t xml:space="preserve"> </w:t>
      </w:r>
      <w:r>
        <w:t>顺直。</w:t>
      </w:r>
    </w:p>
    <w:p>
      <w:pPr>
        <w:pStyle w:val="BodyText"/>
      </w:pPr>
      <w:r>
        <w:t>检验方式：观察或尺量检查。</w:t>
      </w:r>
    </w:p>
    <w:p>
      <w:pPr>
        <w:pStyle w:val="BodyText"/>
        <w:spacing w:before="1"/>
        <w:ind w:left="0"/>
        <w:rPr>
          <w:sz w:val="31"/>
        </w:rPr>
      </w:pPr>
    </w:p>
    <w:p>
      <w:pPr>
        <w:pStyle w:val="ListParagraph"/>
        <w:numPr>
          <w:ilvl w:val="0"/>
          <w:numId w:val="4"/>
        </w:numPr>
        <w:tabs>
          <w:tab w:val="left" w:pos="663"/>
        </w:tabs>
        <w:spacing w:before="0" w:after="0" w:line="240" w:lineRule="auto"/>
        <w:ind w:left="662" w:right="0" w:hanging="526"/>
        <w:jc w:val="left"/>
        <w:rPr>
          <w:sz w:val="42"/>
        </w:rPr>
      </w:pPr>
      <w:r>
        <w:rPr>
          <w:sz w:val="42"/>
        </w:rPr>
        <w:t>镶边：</w:t>
      </w:r>
    </w:p>
    <w:p>
      <w:pPr>
        <w:pStyle w:val="BodyText"/>
        <w:spacing w:before="397"/>
      </w:pPr>
      <w:r>
        <w:t>合格标准：各种面层邻接处的镶边用料及尺寸符合设计要求和施工</w:t>
      </w:r>
    </w:p>
    <w:p>
      <w:pPr>
        <w:spacing w:after="0"/>
        <w:sectPr>
          <w:pgSz w:w="17860" w:h="25260"/>
          <w:pgMar w:top="1560" w:right="2200" w:bottom="280" w:left="2560" w:header="1160" w:footer="0"/>
          <w:cols w:space="708"/>
        </w:sectPr>
      </w:pPr>
    </w:p>
    <w:p>
      <w:pPr>
        <w:pStyle w:val="BodyText"/>
        <w:ind w:left="0"/>
        <w:rPr>
          <w:sz w:val="20"/>
        </w:rPr>
      </w:pPr>
    </w:p>
    <w:p>
      <w:pPr>
        <w:pStyle w:val="BodyText"/>
        <w:spacing w:before="181" w:line="417" w:lineRule="auto"/>
        <w:ind w:right="7484"/>
      </w:pPr>
      <w:r>
        <w:t>规范规定，边角整齐，光滑。检验方式：观察或尺量检查。</w:t>
      </w:r>
    </w:p>
    <w:p>
      <w:pPr>
        <w:pStyle w:val="BodyText"/>
        <w:spacing w:line="537" w:lineRule="exact"/>
      </w:pPr>
      <w:r>
        <w:t>（五）石头漆喷涂施工方案及保证质量措施</w:t>
      </w:r>
    </w:p>
    <w:p>
      <w:pPr>
        <w:pStyle w:val="BodyText"/>
        <w:ind w:left="0"/>
        <w:rPr>
          <w:sz w:val="31"/>
        </w:rPr>
      </w:pPr>
    </w:p>
    <w:p>
      <w:pPr>
        <w:pStyle w:val="ListParagraph"/>
        <w:numPr>
          <w:ilvl w:val="0"/>
          <w:numId w:val="3"/>
        </w:numPr>
        <w:tabs>
          <w:tab w:val="left" w:pos="1217"/>
        </w:tabs>
        <w:spacing w:before="0" w:after="0" w:line="240" w:lineRule="auto"/>
        <w:ind w:left="1217" w:right="0" w:hanging="1080"/>
        <w:jc w:val="left"/>
        <w:rPr>
          <w:sz w:val="42"/>
        </w:rPr>
      </w:pPr>
      <w:r>
        <w:rPr>
          <w:sz w:val="42"/>
        </w:rPr>
        <w:t>工艺流程</w:t>
      </w:r>
    </w:p>
    <w:p>
      <w:pPr>
        <w:pStyle w:val="BodyText"/>
        <w:spacing w:before="1"/>
        <w:ind w:left="0"/>
        <w:rPr>
          <w:sz w:val="31"/>
        </w:rPr>
      </w:pPr>
    </w:p>
    <w:p>
      <w:pPr>
        <w:pStyle w:val="BodyText"/>
        <w:tabs>
          <w:tab w:val="left" w:pos="3284"/>
          <w:tab w:val="left" w:pos="6016"/>
          <w:tab w:val="left" w:pos="8745"/>
          <w:tab w:val="left" w:pos="10639"/>
        </w:tabs>
      </w:pPr>
      <w:r>
        <w:drawing>
          <wp:anchor distT="0" distB="0" distL="0" distR="0" simplePos="0" relativeHeight="251675648" behindDoc="1" locked="0" layoutInCell="1" allowOverlap="1">
            <wp:simplePos x="0" y="0"/>
            <wp:positionH relativeFrom="page">
              <wp:posOffset>3111500</wp:posOffset>
            </wp:positionH>
            <wp:positionV relativeFrom="paragraph">
              <wp:posOffset>151130</wp:posOffset>
            </wp:positionV>
            <wp:extent cx="533400" cy="127000"/>
            <wp:effectExtent l="0" t="0" r="0" b="0"/>
            <wp:wrapNone/>
            <wp:docPr id="35"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image15.png"/>
                    <pic:cNvPicPr/>
                  </pic:nvPicPr>
                  <pic:blipFill>
                    <a:blip xmlns:r="http://schemas.openxmlformats.org/officeDocument/2006/relationships" r:embed="rId15" cstate="print"/>
                    <a:stretch>
                      <a:fillRect/>
                    </a:stretch>
                  </pic:blipFill>
                  <pic:spPr>
                    <a:xfrm>
                      <a:off x="0" y="0"/>
                      <a:ext cx="533400" cy="127000"/>
                    </a:xfrm>
                    <a:prstGeom prst="rect">
                      <a:avLst/>
                    </a:prstGeom>
                  </pic:spPr>
                </pic:pic>
              </a:graphicData>
            </a:graphic>
          </wp:anchor>
        </w:drawing>
      </w:r>
      <w:r>
        <w:drawing>
          <wp:anchor distT="0" distB="0" distL="0" distR="0" simplePos="0" relativeHeight="251676672" behindDoc="1" locked="0" layoutInCell="1" allowOverlap="1">
            <wp:simplePos x="0" y="0"/>
            <wp:positionH relativeFrom="page">
              <wp:posOffset>4902200</wp:posOffset>
            </wp:positionH>
            <wp:positionV relativeFrom="paragraph">
              <wp:posOffset>151130</wp:posOffset>
            </wp:positionV>
            <wp:extent cx="546100" cy="127000"/>
            <wp:effectExtent l="0" t="0" r="0" b="0"/>
            <wp:wrapNone/>
            <wp:docPr id="37"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image16.png"/>
                    <pic:cNvPicPr/>
                  </pic:nvPicPr>
                  <pic:blipFill>
                    <a:blip xmlns:r="http://schemas.openxmlformats.org/officeDocument/2006/relationships" r:embed="rId16" cstate="print"/>
                    <a:stretch>
                      <a:fillRect/>
                    </a:stretch>
                  </pic:blipFill>
                  <pic:spPr>
                    <a:xfrm>
                      <a:off x="0" y="0"/>
                      <a:ext cx="546100" cy="127000"/>
                    </a:xfrm>
                    <a:prstGeom prst="rect">
                      <a:avLst/>
                    </a:prstGeom>
                  </pic:spPr>
                </pic:pic>
              </a:graphicData>
            </a:graphic>
          </wp:anchor>
        </w:drawing>
      </w:r>
      <w:r>
        <w:drawing>
          <wp:anchor distT="0" distB="0" distL="0" distR="0" simplePos="0" relativeHeight="251677696" behindDoc="1" locked="0" layoutInCell="1" allowOverlap="1">
            <wp:simplePos x="0" y="0"/>
            <wp:positionH relativeFrom="page">
              <wp:posOffset>6604000</wp:posOffset>
            </wp:positionH>
            <wp:positionV relativeFrom="paragraph">
              <wp:posOffset>151130</wp:posOffset>
            </wp:positionV>
            <wp:extent cx="546100" cy="127000"/>
            <wp:effectExtent l="0" t="0" r="0" b="0"/>
            <wp:wrapNone/>
            <wp:docPr id="39"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image17.png"/>
                    <pic:cNvPicPr/>
                  </pic:nvPicPr>
                  <pic:blipFill>
                    <a:blip xmlns:r="http://schemas.openxmlformats.org/officeDocument/2006/relationships" r:embed="rId13" cstate="print"/>
                    <a:stretch>
                      <a:fillRect/>
                    </a:stretch>
                  </pic:blipFill>
                  <pic:spPr>
                    <a:xfrm>
                      <a:off x="0" y="0"/>
                      <a:ext cx="546100" cy="127000"/>
                    </a:xfrm>
                    <a:prstGeom prst="rect">
                      <a:avLst/>
                    </a:prstGeom>
                  </pic:spPr>
                </pic:pic>
              </a:graphicData>
            </a:graphic>
          </wp:anchor>
        </w:drawing>
      </w:r>
      <w:r>
        <w:drawing>
          <wp:anchor distT="0" distB="0" distL="0" distR="0" simplePos="0" relativeHeight="251678720" behindDoc="1" locked="0" layoutInCell="1" allowOverlap="1">
            <wp:simplePos x="0" y="0"/>
            <wp:positionH relativeFrom="page">
              <wp:posOffset>7810500</wp:posOffset>
            </wp:positionH>
            <wp:positionV relativeFrom="paragraph">
              <wp:posOffset>151130</wp:posOffset>
            </wp:positionV>
            <wp:extent cx="533400" cy="127000"/>
            <wp:effectExtent l="0" t="0" r="0" b="0"/>
            <wp:wrapNone/>
            <wp:docPr id="41"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image18.png"/>
                    <pic:cNvPicPr/>
                  </pic:nvPicPr>
                  <pic:blipFill>
                    <a:blip xmlns:r="http://schemas.openxmlformats.org/officeDocument/2006/relationships" r:embed="rId17" cstate="print"/>
                    <a:stretch>
                      <a:fillRect/>
                    </a:stretch>
                  </pic:blipFill>
                  <pic:spPr>
                    <a:xfrm>
                      <a:off x="0" y="0"/>
                      <a:ext cx="533400" cy="127000"/>
                    </a:xfrm>
                    <a:prstGeom prst="rect">
                      <a:avLst/>
                    </a:prstGeom>
                  </pic:spPr>
                </pic:pic>
              </a:graphicData>
            </a:graphic>
          </wp:anchor>
        </w:drawing>
      </w:r>
      <w:r>
        <w:t>基层双飞粉</w:t>
        <w:tab/>
        <w:t>喷涂底漆</w:t>
        <w:tab/>
        <w:t>喷涂石漆</w:t>
        <w:tab/>
        <w:t>打磨</w:t>
        <w:tab/>
        <w:t>喷涂面漆</w:t>
      </w:r>
    </w:p>
    <w:p>
      <w:pPr>
        <w:pStyle w:val="BodyText"/>
        <w:spacing w:before="1"/>
        <w:ind w:left="0"/>
        <w:rPr>
          <w:sz w:val="31"/>
        </w:rPr>
      </w:pPr>
    </w:p>
    <w:p>
      <w:pPr>
        <w:pStyle w:val="ListParagraph"/>
        <w:numPr>
          <w:ilvl w:val="0"/>
          <w:numId w:val="3"/>
        </w:numPr>
        <w:tabs>
          <w:tab w:val="left" w:pos="1217"/>
        </w:tabs>
        <w:spacing w:before="0" w:after="0" w:line="240" w:lineRule="auto"/>
        <w:ind w:left="1217" w:right="0" w:hanging="1080"/>
        <w:jc w:val="left"/>
        <w:rPr>
          <w:sz w:val="42"/>
        </w:rPr>
      </w:pPr>
      <w:r>
        <w:rPr>
          <w:sz w:val="42"/>
        </w:rPr>
        <w:t>保证施工质量的措施</w:t>
      </w:r>
    </w:p>
    <w:p>
      <w:pPr>
        <w:pStyle w:val="BodyText"/>
        <w:spacing w:before="1"/>
        <w:ind w:left="0"/>
        <w:rPr>
          <w:sz w:val="31"/>
        </w:rPr>
      </w:pPr>
    </w:p>
    <w:p>
      <w:pPr>
        <w:pStyle w:val="BodyText"/>
        <w:spacing w:line="417" w:lineRule="auto"/>
        <w:ind w:right="479"/>
      </w:pPr>
      <w:r>
        <w:rPr>
          <w:spacing w:val="34"/>
        </w:rPr>
        <w:t>严格按</w:t>
      </w:r>
      <w:r>
        <w:rPr>
          <w:rFonts w:ascii="Arial Narrow" w:eastAsia="Arial Narrow" w:hAnsi="Arial Narrow"/>
        </w:rPr>
        <w:t>QB1838</w:t>
      </w:r>
      <w:r>
        <w:t>——</w:t>
      </w:r>
      <w:r>
        <w:rPr>
          <w:rFonts w:ascii="Arial Narrow" w:eastAsia="Arial Narrow" w:hAnsi="Arial Narrow"/>
        </w:rPr>
        <w:t>93</w:t>
      </w:r>
      <w:r>
        <w:rPr>
          <w:rFonts w:ascii="Arial Narrow" w:eastAsia="Arial Narrow" w:hAnsi="Arial Narrow"/>
          <w:spacing w:val="91"/>
        </w:rPr>
        <w:t xml:space="preserve"> </w:t>
      </w:r>
      <w:r>
        <w:rPr>
          <w:spacing w:val="-8"/>
        </w:rPr>
        <w:t>装饰工程质量规范严格把关。保证每一道工序</w:t>
      </w:r>
      <w:r>
        <w:t>达到质量要求后，方可进入下一工序。</w:t>
      </w:r>
    </w:p>
    <w:p>
      <w:pPr>
        <w:pStyle w:val="BodyText"/>
        <w:spacing w:line="417" w:lineRule="auto"/>
        <w:ind w:right="8676"/>
      </w:pPr>
      <w:r>
        <w:rPr>
          <w:rFonts w:ascii="Arial Narrow" w:eastAsia="Arial Narrow"/>
        </w:rPr>
        <w:t>(3)</w:t>
      </w:r>
      <w:r>
        <w:t>石头漆技术质量要求基层处理：</w:t>
      </w:r>
    </w:p>
    <w:p>
      <w:pPr>
        <w:pStyle w:val="ListParagraph"/>
        <w:numPr>
          <w:ilvl w:val="0"/>
          <w:numId w:val="2"/>
        </w:numPr>
        <w:tabs>
          <w:tab w:val="left" w:pos="723"/>
          <w:tab w:val="left" w:pos="724"/>
        </w:tabs>
        <w:spacing w:before="0" w:after="0" w:line="537" w:lineRule="exact"/>
        <w:ind w:left="723" w:right="0" w:hanging="587"/>
        <w:jc w:val="left"/>
        <w:rPr>
          <w:sz w:val="42"/>
        </w:rPr>
      </w:pPr>
      <w:r>
        <w:rPr>
          <w:sz w:val="42"/>
        </w:rPr>
        <w:t>原材料：</w:t>
      </w:r>
    </w:p>
    <w:p>
      <w:pPr>
        <w:pStyle w:val="BodyText"/>
        <w:ind w:left="0"/>
        <w:rPr>
          <w:sz w:val="31"/>
        </w:rPr>
      </w:pPr>
    </w:p>
    <w:p>
      <w:pPr>
        <w:pStyle w:val="BodyText"/>
        <w:spacing w:line="417" w:lineRule="auto"/>
        <w:ind w:right="745"/>
      </w:pPr>
      <w:r>
        <w:t>合格标准：材料的品种、质量必需符合设计要求及有关标准规定。检验方式：检查出厂合格证和检验报告。</w:t>
      </w:r>
    </w:p>
    <w:p>
      <w:pPr>
        <w:pStyle w:val="ListParagraph"/>
        <w:numPr>
          <w:ilvl w:val="0"/>
          <w:numId w:val="2"/>
        </w:numPr>
        <w:tabs>
          <w:tab w:val="left" w:pos="723"/>
          <w:tab w:val="left" w:pos="724"/>
        </w:tabs>
        <w:spacing w:before="0" w:after="0" w:line="240" w:lineRule="auto"/>
        <w:ind w:left="723" w:right="0" w:hanging="587"/>
        <w:jc w:val="left"/>
        <w:rPr>
          <w:sz w:val="42"/>
        </w:rPr>
      </w:pPr>
      <w:r>
        <w:rPr>
          <w:sz w:val="42"/>
        </w:rPr>
        <w:t>基层：</w:t>
      </w:r>
    </w:p>
    <w:p>
      <w:pPr>
        <w:pStyle w:val="BodyText"/>
        <w:spacing w:before="1"/>
        <w:ind w:left="0"/>
        <w:rPr>
          <w:sz w:val="31"/>
        </w:rPr>
      </w:pPr>
    </w:p>
    <w:p>
      <w:pPr>
        <w:pStyle w:val="BodyText"/>
        <w:spacing w:line="417" w:lineRule="auto"/>
        <w:ind w:right="324"/>
      </w:pPr>
      <w:r>
        <w:t>合格标准：各抹灰之间及抹灰层与基体之间必需粘结坚固，无脱层、空鼓和裂缝等缺陷（</w:t>
      </w:r>
      <w:r>
        <w:rPr>
          <w:spacing w:val="-6"/>
        </w:rPr>
        <w:t xml:space="preserve">注：空鼓而不裂的面积不大于 </w:t>
      </w:r>
      <w:r>
        <w:rPr>
          <w:rFonts w:ascii="Arial Narrow" w:eastAsia="Arial Narrow"/>
        </w:rPr>
        <w:t>20</w:t>
      </w:r>
      <w:r>
        <w:rPr>
          <w:rFonts w:ascii="Arial Narrow" w:eastAsia="Arial Narrow"/>
          <w:spacing w:val="72"/>
        </w:rPr>
        <w:t xml:space="preserve"> </w:t>
      </w:r>
      <w:r>
        <w:t>平方厘米者，</w:t>
      </w:r>
      <w:r>
        <w:rPr>
          <w:spacing w:val="-207"/>
        </w:rPr>
        <w:t xml:space="preserve"> </w:t>
      </w:r>
      <w:r>
        <w:rPr>
          <w:spacing w:val="-54"/>
        </w:rPr>
        <w:t>可不计。</w:t>
      </w:r>
      <w:r>
        <w:t>）</w:t>
      </w:r>
    </w:p>
    <w:p>
      <w:pPr>
        <w:pStyle w:val="BodyText"/>
        <w:spacing w:line="417" w:lineRule="auto"/>
        <w:ind w:right="5378"/>
      </w:pPr>
      <w:r>
        <w:t>检验方式：观察检查和用小锤轻击检查。饰面要求：</w:t>
      </w:r>
    </w:p>
    <w:p>
      <w:pPr>
        <w:pStyle w:val="ListParagraph"/>
        <w:numPr>
          <w:ilvl w:val="0"/>
          <w:numId w:val="1"/>
        </w:numPr>
        <w:tabs>
          <w:tab w:val="left" w:pos="723"/>
          <w:tab w:val="left" w:pos="724"/>
        </w:tabs>
        <w:spacing w:before="0" w:after="0" w:line="240" w:lineRule="auto"/>
        <w:ind w:left="723" w:right="0" w:hanging="587"/>
        <w:jc w:val="left"/>
        <w:rPr>
          <w:rFonts w:ascii="Arial Narrow" w:eastAsia="Arial Narrow"/>
          <w:sz w:val="42"/>
        </w:rPr>
      </w:pPr>
      <w:r>
        <w:rPr>
          <w:sz w:val="42"/>
        </w:rPr>
        <w:t>表面：</w:t>
      </w:r>
    </w:p>
    <w:p>
      <w:pPr>
        <w:pStyle w:val="BodyText"/>
        <w:ind w:left="0"/>
        <w:rPr>
          <w:sz w:val="31"/>
        </w:rPr>
      </w:pPr>
    </w:p>
    <w:p>
      <w:pPr>
        <w:pStyle w:val="BodyText"/>
        <w:spacing w:line="417" w:lineRule="auto"/>
        <w:ind w:right="324"/>
      </w:pPr>
      <w:r>
        <w:t>合格标准：颜色全都，花纹、色点大小均匀，不显接槎，无漏涂、透底和流坠，无污迹。</w:t>
      </w:r>
    </w:p>
    <w:p>
      <w:pPr>
        <w:spacing w:after="0" w:line="417" w:lineRule="auto"/>
        <w:sectPr>
          <w:pgSz w:w="17860" w:h="25260"/>
          <w:pgMar w:top="1560" w:right="2200" w:bottom="280" w:left="2560" w:header="1160" w:footer="0"/>
          <w:cols w:space="708"/>
        </w:sectPr>
      </w:pPr>
    </w:p>
    <w:p>
      <w:pPr>
        <w:pStyle w:val="BodyText"/>
        <w:ind w:left="0"/>
        <w:rPr>
          <w:sz w:val="20"/>
        </w:rPr>
      </w:pPr>
    </w:p>
    <w:p>
      <w:pPr>
        <w:pStyle w:val="BodyText"/>
        <w:spacing w:before="181"/>
      </w:pPr>
      <w:r>
        <w:t>检验方式：观察检查。</w:t>
      </w:r>
    </w:p>
    <w:p>
      <w:pPr>
        <w:pStyle w:val="BodyText"/>
        <w:ind w:left="0"/>
        <w:rPr>
          <w:sz w:val="31"/>
        </w:rPr>
      </w:pPr>
    </w:p>
    <w:p>
      <w:pPr>
        <w:pStyle w:val="ListParagraph"/>
        <w:numPr>
          <w:ilvl w:val="0"/>
          <w:numId w:val="1"/>
        </w:numPr>
        <w:tabs>
          <w:tab w:val="left" w:pos="723"/>
          <w:tab w:val="left" w:pos="724"/>
        </w:tabs>
        <w:spacing w:before="0" w:after="0" w:line="240" w:lineRule="auto"/>
        <w:ind w:left="723" w:right="0" w:hanging="587"/>
        <w:jc w:val="left"/>
        <w:rPr>
          <w:rFonts w:ascii="Cambria" w:eastAsia="Cambria"/>
          <w:sz w:val="42"/>
        </w:rPr>
      </w:pPr>
      <w:r>
        <w:rPr>
          <w:w w:val="100"/>
          <w:sz w:val="42"/>
        </w:rPr>
        <w:t>分格条（缝</w:t>
      </w:r>
      <w:r>
        <w:rPr>
          <w:spacing w:val="-216"/>
          <w:w w:val="100"/>
          <w:sz w:val="42"/>
        </w:rPr>
        <w:t>）</w:t>
      </w:r>
      <w:r>
        <w:rPr>
          <w:w w:val="100"/>
          <w:sz w:val="42"/>
        </w:rPr>
        <w:t>：</w:t>
      </w:r>
    </w:p>
    <w:p>
      <w:pPr>
        <w:pStyle w:val="BodyText"/>
        <w:spacing w:before="398" w:line="417" w:lineRule="auto"/>
        <w:ind w:right="324"/>
      </w:pPr>
      <w:r>
        <w:t>合格标准：宽度、深度均匀全都、平整光滑，楞角整齐，横平竖直、通顺。</w:t>
      </w:r>
    </w:p>
    <w:p>
      <w:pPr>
        <w:pStyle w:val="BodyText"/>
        <w:spacing w:line="537" w:lineRule="exact"/>
      </w:pPr>
      <w:r>
        <w:t>检验方式：观察检查。</w:t>
      </w:r>
    </w:p>
    <w:p>
      <w:pPr>
        <w:pStyle w:val="BodyText"/>
        <w:spacing w:before="1"/>
        <w:ind w:left="0"/>
        <w:rPr>
          <w:sz w:val="31"/>
        </w:rPr>
      </w:pPr>
    </w:p>
    <w:p>
      <w:pPr>
        <w:pStyle w:val="ListParagraph"/>
        <w:numPr>
          <w:ilvl w:val="0"/>
          <w:numId w:val="1"/>
        </w:numPr>
        <w:tabs>
          <w:tab w:val="left" w:pos="723"/>
          <w:tab w:val="left" w:pos="724"/>
        </w:tabs>
        <w:spacing w:before="0" w:after="0" w:line="240" w:lineRule="auto"/>
        <w:ind w:left="723" w:right="0" w:hanging="587"/>
        <w:jc w:val="left"/>
        <w:rPr>
          <w:rFonts w:ascii="Cambria" w:eastAsia="Cambria"/>
          <w:sz w:val="42"/>
        </w:rPr>
      </w:pPr>
      <w:r>
        <w:rPr>
          <w:sz w:val="42"/>
        </w:rPr>
        <w:t>孔洞、槽盒和管道后面的抹灰表面：</w:t>
      </w:r>
    </w:p>
    <w:p>
      <w:pPr>
        <w:pStyle w:val="BodyText"/>
        <w:spacing w:before="399" w:line="417" w:lineRule="auto"/>
        <w:ind w:right="2851"/>
      </w:pPr>
      <w:r>
        <w:t>合格标准：尺寸准确，边缘整齐光滑，管道后面平整。检验方式：观察检查。</w:t>
      </w:r>
    </w:p>
    <w:p>
      <w:pPr>
        <w:spacing w:before="0" w:line="417" w:lineRule="auto"/>
        <w:ind w:left="137" w:right="6642" w:firstLine="0"/>
        <w:jc w:val="left"/>
        <w:rPr>
          <w:b/>
          <w:sz w:val="42"/>
        </w:rPr>
      </w:pPr>
      <w:r>
        <w:rPr>
          <w:sz w:val="42"/>
        </w:rPr>
        <w:t>检验方式：小锤轻击和尺量检查。</w:t>
      </w:r>
      <w:r>
        <w:rPr>
          <w:b/>
          <w:spacing w:val="21"/>
          <w:sz w:val="42"/>
        </w:rPr>
        <w:t>六、 竣工验收资料</w:t>
      </w:r>
    </w:p>
    <w:p>
      <w:pPr>
        <w:pStyle w:val="BodyText"/>
        <w:spacing w:line="537" w:lineRule="exact"/>
      </w:pPr>
      <w:r>
        <w:rPr>
          <w:rFonts w:ascii="Cambria" w:eastAsia="Cambria"/>
        </w:rPr>
        <w:t>1</w:t>
      </w:r>
      <w:r>
        <w:t>、施工组织设计或方案；</w:t>
      </w:r>
    </w:p>
    <w:p>
      <w:pPr>
        <w:pStyle w:val="BodyText"/>
        <w:spacing w:before="397"/>
      </w:pPr>
      <w:r>
        <w:rPr>
          <w:rFonts w:ascii="Cambria" w:eastAsia="Cambria"/>
        </w:rPr>
        <w:t>2</w:t>
      </w:r>
      <w:r>
        <w:t>、施工工程各项技术交底；</w:t>
      </w:r>
    </w:p>
    <w:p>
      <w:pPr>
        <w:pStyle w:val="BodyText"/>
        <w:spacing w:before="398"/>
      </w:pPr>
      <w:r>
        <w:rPr>
          <w:rFonts w:ascii="Cambria" w:eastAsia="Cambria"/>
        </w:rPr>
        <w:t>3</w:t>
      </w:r>
      <w:r>
        <w:t>、重点工程拟定的技术质量标准、规程规范；</w:t>
      </w:r>
    </w:p>
    <w:p>
      <w:pPr>
        <w:pStyle w:val="BodyText"/>
        <w:spacing w:before="398"/>
      </w:pPr>
      <w:r>
        <w:rPr>
          <w:rFonts w:ascii="Cambria" w:eastAsia="Cambria"/>
        </w:rPr>
        <w:t>4</w:t>
      </w:r>
      <w:r>
        <w:t>、施工中采纳的新技术、试验实施资料；</w:t>
      </w:r>
    </w:p>
    <w:p>
      <w:pPr>
        <w:pStyle w:val="BodyText"/>
        <w:spacing w:before="398"/>
      </w:pPr>
      <w:r>
        <w:rPr>
          <w:rFonts w:ascii="Cambria" w:eastAsia="Cambria"/>
        </w:rPr>
        <w:t>5</w:t>
      </w:r>
      <w:r>
        <w:t>、设计变更文字记录；</w:t>
      </w:r>
    </w:p>
    <w:p>
      <w:pPr>
        <w:pStyle w:val="BodyText"/>
        <w:spacing w:before="398"/>
      </w:pPr>
      <w:r>
        <w:rPr>
          <w:rFonts w:ascii="Cambria" w:eastAsia="Cambria"/>
        </w:rPr>
        <w:t>6</w:t>
      </w:r>
      <w:r>
        <w:t>、分项、分部检验记录；</w:t>
      </w:r>
    </w:p>
    <w:p>
      <w:pPr>
        <w:pStyle w:val="BodyText"/>
        <w:spacing w:before="398"/>
      </w:pPr>
      <w:r>
        <w:rPr>
          <w:rFonts w:ascii="Cambria" w:eastAsia="Cambria"/>
        </w:rPr>
        <w:t>7</w:t>
      </w:r>
      <w:r>
        <w:t>、隐蔽工程验收记录；</w:t>
      </w:r>
    </w:p>
    <w:p>
      <w:pPr>
        <w:pStyle w:val="BodyText"/>
        <w:spacing w:before="398"/>
      </w:pPr>
      <w:r>
        <w:rPr>
          <w:rFonts w:ascii="Cambria" w:eastAsia="Cambria"/>
        </w:rPr>
        <w:t>8</w:t>
      </w:r>
      <w:r>
        <w:t>、竣工验收记录；</w:t>
      </w:r>
    </w:p>
    <w:p>
      <w:pPr>
        <w:pStyle w:val="BodyText"/>
        <w:spacing w:before="399"/>
      </w:pPr>
      <w:r>
        <w:rPr>
          <w:rFonts w:ascii="Cambria" w:eastAsia="Cambria"/>
        </w:rPr>
        <w:t>9</w:t>
      </w:r>
      <w:r>
        <w:t>、竣工图。</w:t>
      </w:r>
    </w:p>
    <w:p>
      <w:pPr>
        <w:pStyle w:val="BodyText"/>
        <w:spacing w:before="12"/>
        <w:ind w:left="0"/>
        <w:rPr>
          <w:sz w:val="23"/>
        </w:rPr>
      </w:pPr>
    </w:p>
    <w:p>
      <w:pPr>
        <w:pStyle w:val="BodyText"/>
        <w:spacing w:before="91" w:line="360" w:lineRule="exact"/>
        <w:ind w:left="8537"/>
      </w:pPr>
      <w:r>
        <w:pict>
          <v:shapetype id="_x0000_t202" coordsize="21600,21600" o:spt="202" path="m,l,21600r21600,l21600,xe">
            <v:stroke joinstyle="miter"/>
            <v:path gradientshapeok="t" o:connecttype="rect"/>
          </v:shapetype>
          <v:shape id="_x0000_s1025" type="#_x0000_t202" style="width:81pt;height:54pt;margin-top:13.63pt;margin-left:236.55pt;mso-position-horizontal-relative:page;position:absolute;z-index:251659264" filled="f" stroked="f">
            <v:textbox inset="0,0,0,0">
              <w:txbxContent>
                <w:p>
                  <w:pPr>
                    <w:spacing w:before="149" w:line="931" w:lineRule="exact"/>
                    <w:ind w:left="0" w:right="0" w:firstLine="0"/>
                    <w:jc w:val="left"/>
                    <w:rPr>
                      <w:rFonts w:ascii="Garamond"/>
                      <w:b/>
                      <w:sz w:val="108"/>
                    </w:rPr>
                  </w:pPr>
                  <w:r>
                    <w:rPr>
                      <w:rFonts w:ascii="Garamond"/>
                      <w:b/>
                      <w:sz w:val="108"/>
                    </w:rPr>
                    <w:t>xxx</w:t>
                  </w:r>
                </w:p>
              </w:txbxContent>
            </v:textbox>
          </v:shape>
        </w:pict>
      </w:r>
      <w:r>
        <w:rPr>
          <w:rFonts w:ascii="Cambria" w:eastAsia="Cambria"/>
        </w:rPr>
        <w:t>xxxxx</w:t>
      </w:r>
      <w:r>
        <w:rPr>
          <w:rFonts w:ascii="Cambria" w:eastAsia="Cambria"/>
          <w:spacing w:val="21"/>
        </w:rPr>
        <w:t xml:space="preserve"> </w:t>
      </w:r>
      <w:r>
        <w:t>装修项目部</w:t>
      </w:r>
    </w:p>
    <w:p>
      <w:pPr>
        <w:pStyle w:val="Heading1"/>
        <w:spacing w:line="1205" w:lineRule="exact"/>
        <w:ind w:left="1504"/>
        <w:jc w:val="center"/>
      </w:pPr>
      <w:r>
        <w:rPr>
          <w:w w:val="95"/>
        </w:rPr>
        <w:t>金碧辉煌大厦</w:t>
      </w:r>
    </w:p>
    <w:p>
      <w:pPr>
        <w:spacing w:after="0" w:line="1205" w:lineRule="exact"/>
        <w:jc w:val="center"/>
        <w:sectPr>
          <w:pgSz w:w="17860" w:h="25260"/>
          <w:pgMar w:top="1560" w:right="2200" w:bottom="280" w:left="2560" w:header="1160" w:footer="0"/>
          <w:cols w:space="708"/>
        </w:sectPr>
      </w:pPr>
    </w:p>
    <w:p>
      <w:pPr>
        <w:pStyle w:val="BodyText"/>
        <w:spacing w:before="12"/>
        <w:ind w:left="0"/>
        <w:rPr>
          <w:b/>
          <w:sz w:val="10"/>
        </w:rPr>
      </w:pPr>
    </w:p>
    <w:p>
      <w:pPr>
        <w:spacing w:before="0" w:line="991" w:lineRule="exact"/>
        <w:ind w:left="698" w:right="1045" w:firstLine="0"/>
        <w:jc w:val="center"/>
        <w:rPr>
          <w:sz w:val="78"/>
        </w:rPr>
      </w:pPr>
      <w:r>
        <w:rPr>
          <w:sz w:val="78"/>
        </w:rPr>
        <w:t>室内情景装修施工组织设计</w:t>
      </w:r>
    </w:p>
    <w:p>
      <w:pPr>
        <w:spacing w:before="622"/>
        <w:ind w:left="698" w:right="1056" w:firstLine="0"/>
        <w:jc w:val="center"/>
        <w:rPr>
          <w:sz w:val="48"/>
        </w:rPr>
      </w:pPr>
      <w:r>
        <w:rPr>
          <w:rFonts w:ascii="Times New Roman" w:eastAsia="Times New Roman"/>
          <w:sz w:val="48"/>
        </w:rPr>
        <w:t>xxxx</w:t>
      </w:r>
      <w:r>
        <w:rPr>
          <w:rFonts w:ascii="Times New Roman" w:eastAsia="Times New Roman"/>
          <w:spacing w:val="4"/>
          <w:sz w:val="48"/>
        </w:rPr>
        <w:t xml:space="preserve"> </w:t>
      </w:r>
      <w:r>
        <w:rPr>
          <w:sz w:val="48"/>
        </w:rPr>
        <w:t>装修项目部</w:t>
      </w:r>
    </w:p>
    <w:p>
      <w:pPr>
        <w:spacing w:before="321"/>
        <w:ind w:left="698" w:right="826" w:firstLine="0"/>
        <w:jc w:val="center"/>
        <w:rPr>
          <w:sz w:val="48"/>
        </w:rPr>
      </w:pPr>
      <w:r>
        <w:rPr>
          <w:spacing w:val="-35"/>
          <w:w w:val="95"/>
          <w:sz w:val="48"/>
        </w:rPr>
        <w:t xml:space="preserve">二 </w:t>
      </w:r>
      <w:r>
        <w:rPr>
          <w:rFonts w:ascii="Times New Roman" w:eastAsia="Times New Roman"/>
          <w:w w:val="95"/>
          <w:sz w:val="48"/>
        </w:rPr>
        <w:t>OO</w:t>
      </w:r>
      <w:r>
        <w:rPr>
          <w:rFonts w:ascii="Times New Roman" w:eastAsia="Times New Roman"/>
          <w:spacing w:val="44"/>
          <w:w w:val="95"/>
          <w:sz w:val="48"/>
        </w:rPr>
        <w:t xml:space="preserve"> </w:t>
      </w:r>
      <w:r>
        <w:rPr>
          <w:w w:val="95"/>
          <w:sz w:val="48"/>
        </w:rPr>
        <w:t>一年十二月十日</w:t>
      </w:r>
    </w:p>
    <w:sectPr>
      <w:pgSz w:w="17860" w:h="25260"/>
      <w:pgMar w:top="1560" w:right="2200" w:bottom="280" w:left="2560" w:header="1160" w:footer="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font>
  <w:font w:name="Cambria">
    <w:altName w:val="Cambria"/>
    <w:charset w:val="00"/>
    <w:family w:val="roman"/>
    <w:pitch w:val="variable"/>
  </w:font>
  <w:font w:name="宋体">
    <w:altName w:val="宋体"/>
    <w:charset w:val="86"/>
    <w:family w:val="auto"/>
    <w:pitch w:val="variable"/>
  </w:font>
  <w:font w:name="Garamond">
    <w:altName w:val="Garamond"/>
    <w:charset w:val="00"/>
    <w:family w:val="roman"/>
    <w:pitch w:val="variable"/>
  </w:font>
  <w:font w:name="Arial Narrow">
    <w:altName w:val="Arial Narrow"/>
    <w:charset w:val="0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82BFF4"/>
    <w:multiLevelType w:val="hybridMultilevel"/>
    <w:tmpl w:val="00000000"/>
    <w:lvl w:ilvl="0">
      <w:start w:val="1"/>
      <w:numFmt w:val="decimal"/>
      <w:lvlText w:val="%1."/>
      <w:lvlJc w:val="left"/>
      <w:pPr>
        <w:ind w:left="454" w:hanging="317"/>
        <w:jc w:val="left"/>
      </w:pPr>
      <w:rPr>
        <w:rFonts w:ascii="Cambria" w:eastAsia="Cambria" w:hAnsi="Cambria" w:cs="Cambria" w:hint="default"/>
        <w:w w:val="99"/>
        <w:sz w:val="40"/>
        <w:szCs w:val="40"/>
      </w:rPr>
    </w:lvl>
    <w:lvl w:ilvl="1">
      <w:start w:val="0"/>
      <w:numFmt w:val="bullet"/>
      <w:lvlText w:val="•"/>
      <w:lvlJc w:val="left"/>
      <w:pPr>
        <w:ind w:left="1723" w:hanging="317"/>
      </w:pPr>
      <w:rPr>
        <w:rFonts w:hint="default"/>
      </w:rPr>
    </w:lvl>
    <w:lvl w:ilvl="2">
      <w:start w:val="0"/>
      <w:numFmt w:val="bullet"/>
      <w:lvlText w:val="•"/>
      <w:lvlJc w:val="left"/>
      <w:pPr>
        <w:ind w:left="2987" w:hanging="317"/>
      </w:pPr>
      <w:rPr>
        <w:rFonts w:hint="default"/>
      </w:rPr>
    </w:lvl>
    <w:lvl w:ilvl="3">
      <w:start w:val="0"/>
      <w:numFmt w:val="bullet"/>
      <w:lvlText w:val="•"/>
      <w:lvlJc w:val="left"/>
      <w:pPr>
        <w:ind w:left="4251" w:hanging="317"/>
      </w:pPr>
      <w:rPr>
        <w:rFonts w:hint="default"/>
      </w:rPr>
    </w:lvl>
    <w:lvl w:ilvl="4">
      <w:start w:val="0"/>
      <w:numFmt w:val="bullet"/>
      <w:lvlText w:val="•"/>
      <w:lvlJc w:val="left"/>
      <w:pPr>
        <w:ind w:left="5515" w:hanging="317"/>
      </w:pPr>
      <w:rPr>
        <w:rFonts w:hint="default"/>
      </w:rPr>
    </w:lvl>
    <w:lvl w:ilvl="5">
      <w:start w:val="0"/>
      <w:numFmt w:val="bullet"/>
      <w:lvlText w:val="•"/>
      <w:lvlJc w:val="left"/>
      <w:pPr>
        <w:ind w:left="6779" w:hanging="317"/>
      </w:pPr>
      <w:rPr>
        <w:rFonts w:hint="default"/>
      </w:rPr>
    </w:lvl>
    <w:lvl w:ilvl="6">
      <w:start w:val="0"/>
      <w:numFmt w:val="bullet"/>
      <w:lvlText w:val="•"/>
      <w:lvlJc w:val="left"/>
      <w:pPr>
        <w:ind w:left="8043" w:hanging="317"/>
      </w:pPr>
      <w:rPr>
        <w:rFonts w:hint="default"/>
      </w:rPr>
    </w:lvl>
    <w:lvl w:ilvl="7">
      <w:start w:val="0"/>
      <w:numFmt w:val="bullet"/>
      <w:lvlText w:val="•"/>
      <w:lvlJc w:val="left"/>
      <w:pPr>
        <w:ind w:left="9307" w:hanging="317"/>
      </w:pPr>
      <w:rPr>
        <w:rFonts w:hint="default"/>
      </w:rPr>
    </w:lvl>
    <w:lvl w:ilvl="8">
      <w:start w:val="0"/>
      <w:numFmt w:val="bullet"/>
      <w:lvlText w:val="•"/>
      <w:lvlJc w:val="left"/>
      <w:pPr>
        <w:ind w:left="10571" w:hanging="317"/>
      </w:pPr>
      <w:rPr>
        <w:rFonts w:hint="default"/>
      </w:rPr>
    </w:lvl>
  </w:abstractNum>
  <w:abstractNum w:abstractNumId="1">
    <w:nsid w:val="047E16A2"/>
    <w:multiLevelType w:val="hybridMultilevel"/>
    <w:tmpl w:val="00000000"/>
    <w:lvl w:ilvl="0">
      <w:start w:val="1"/>
      <w:numFmt w:val="decimal"/>
      <w:lvlText w:val="（%1）"/>
      <w:lvlJc w:val="left"/>
      <w:pPr>
        <w:ind w:left="1042" w:hanging="902"/>
        <w:jc w:val="left"/>
      </w:pPr>
      <w:rPr>
        <w:rFonts w:ascii="宋体" w:eastAsia="宋体" w:hAnsi="宋体" w:cs="宋体" w:hint="default"/>
        <w:w w:val="90"/>
        <w:sz w:val="34"/>
        <w:szCs w:val="34"/>
      </w:rPr>
    </w:lvl>
    <w:lvl w:ilvl="1">
      <w:start w:val="0"/>
      <w:numFmt w:val="bullet"/>
      <w:lvlText w:val="•"/>
      <w:lvlJc w:val="left"/>
      <w:pPr>
        <w:ind w:left="1591" w:hanging="902"/>
      </w:pPr>
      <w:rPr>
        <w:rFonts w:hint="default"/>
      </w:rPr>
    </w:lvl>
    <w:lvl w:ilvl="2">
      <w:start w:val="0"/>
      <w:numFmt w:val="bullet"/>
      <w:lvlText w:val="•"/>
      <w:lvlJc w:val="left"/>
      <w:pPr>
        <w:ind w:left="2142" w:hanging="902"/>
      </w:pPr>
      <w:rPr>
        <w:rFonts w:hint="default"/>
      </w:rPr>
    </w:lvl>
    <w:lvl w:ilvl="3">
      <w:start w:val="0"/>
      <w:numFmt w:val="bullet"/>
      <w:lvlText w:val="•"/>
      <w:lvlJc w:val="left"/>
      <w:pPr>
        <w:ind w:left="2693" w:hanging="902"/>
      </w:pPr>
      <w:rPr>
        <w:rFonts w:hint="default"/>
      </w:rPr>
    </w:lvl>
    <w:lvl w:ilvl="4">
      <w:start w:val="0"/>
      <w:numFmt w:val="bullet"/>
      <w:lvlText w:val="•"/>
      <w:lvlJc w:val="left"/>
      <w:pPr>
        <w:ind w:left="3244" w:hanging="902"/>
      </w:pPr>
      <w:rPr>
        <w:rFonts w:hint="default"/>
      </w:rPr>
    </w:lvl>
    <w:lvl w:ilvl="5">
      <w:start w:val="0"/>
      <w:numFmt w:val="bullet"/>
      <w:lvlText w:val="•"/>
      <w:lvlJc w:val="left"/>
      <w:pPr>
        <w:ind w:left="3795" w:hanging="902"/>
      </w:pPr>
      <w:rPr>
        <w:rFonts w:hint="default"/>
      </w:rPr>
    </w:lvl>
    <w:lvl w:ilvl="6">
      <w:start w:val="0"/>
      <w:numFmt w:val="bullet"/>
      <w:lvlText w:val="•"/>
      <w:lvlJc w:val="left"/>
      <w:pPr>
        <w:ind w:left="4346" w:hanging="902"/>
      </w:pPr>
      <w:rPr>
        <w:rFonts w:hint="default"/>
      </w:rPr>
    </w:lvl>
    <w:lvl w:ilvl="7">
      <w:start w:val="0"/>
      <w:numFmt w:val="bullet"/>
      <w:lvlText w:val="•"/>
      <w:lvlJc w:val="left"/>
      <w:pPr>
        <w:ind w:left="4897" w:hanging="902"/>
      </w:pPr>
      <w:rPr>
        <w:rFonts w:hint="default"/>
      </w:rPr>
    </w:lvl>
    <w:lvl w:ilvl="8">
      <w:start w:val="0"/>
      <w:numFmt w:val="bullet"/>
      <w:lvlText w:val="•"/>
      <w:lvlJc w:val="left"/>
      <w:pPr>
        <w:ind w:left="5448" w:hanging="902"/>
      </w:pPr>
      <w:rPr>
        <w:rFonts w:hint="default"/>
      </w:rPr>
    </w:lvl>
  </w:abstractNum>
  <w:abstractNum w:abstractNumId="2">
    <w:nsid w:val="07C79A4D"/>
    <w:multiLevelType w:val="hybridMultilevel"/>
    <w:tmpl w:val="00000000"/>
    <w:lvl w:ilvl="0">
      <w:start w:val="1"/>
      <w:numFmt w:val="decimal"/>
      <w:lvlText w:val="%1."/>
      <w:lvlJc w:val="left"/>
      <w:pPr>
        <w:ind w:left="723" w:hanging="587"/>
        <w:jc w:val="left"/>
      </w:pPr>
      <w:rPr>
        <w:rFonts w:ascii="Arial Narrow" w:eastAsia="Arial Narrow" w:hAnsi="Arial Narrow" w:cs="Arial Narrow" w:hint="default"/>
        <w:w w:val="109"/>
        <w:sz w:val="42"/>
        <w:szCs w:val="42"/>
      </w:rPr>
    </w:lvl>
    <w:lvl w:ilvl="1">
      <w:start w:val="0"/>
      <w:numFmt w:val="bullet"/>
      <w:lvlText w:val="•"/>
      <w:lvlJc w:val="left"/>
      <w:pPr>
        <w:ind w:left="1957" w:hanging="587"/>
      </w:pPr>
      <w:rPr>
        <w:rFonts w:hint="default"/>
      </w:rPr>
    </w:lvl>
    <w:lvl w:ilvl="2">
      <w:start w:val="0"/>
      <w:numFmt w:val="bullet"/>
      <w:lvlText w:val="•"/>
      <w:lvlJc w:val="left"/>
      <w:pPr>
        <w:ind w:left="3195" w:hanging="587"/>
      </w:pPr>
      <w:rPr>
        <w:rFonts w:hint="default"/>
      </w:rPr>
    </w:lvl>
    <w:lvl w:ilvl="3">
      <w:start w:val="0"/>
      <w:numFmt w:val="bullet"/>
      <w:lvlText w:val="•"/>
      <w:lvlJc w:val="left"/>
      <w:pPr>
        <w:ind w:left="4433" w:hanging="587"/>
      </w:pPr>
      <w:rPr>
        <w:rFonts w:hint="default"/>
      </w:rPr>
    </w:lvl>
    <w:lvl w:ilvl="4">
      <w:start w:val="0"/>
      <w:numFmt w:val="bullet"/>
      <w:lvlText w:val="•"/>
      <w:lvlJc w:val="left"/>
      <w:pPr>
        <w:ind w:left="5671" w:hanging="587"/>
      </w:pPr>
      <w:rPr>
        <w:rFonts w:hint="default"/>
      </w:rPr>
    </w:lvl>
    <w:lvl w:ilvl="5">
      <w:start w:val="0"/>
      <w:numFmt w:val="bullet"/>
      <w:lvlText w:val="•"/>
      <w:lvlJc w:val="left"/>
      <w:pPr>
        <w:ind w:left="6909" w:hanging="587"/>
      </w:pPr>
      <w:rPr>
        <w:rFonts w:hint="default"/>
      </w:rPr>
    </w:lvl>
    <w:lvl w:ilvl="6">
      <w:start w:val="0"/>
      <w:numFmt w:val="bullet"/>
      <w:lvlText w:val="•"/>
      <w:lvlJc w:val="left"/>
      <w:pPr>
        <w:ind w:left="8147" w:hanging="587"/>
      </w:pPr>
      <w:rPr>
        <w:rFonts w:hint="default"/>
      </w:rPr>
    </w:lvl>
    <w:lvl w:ilvl="7">
      <w:start w:val="0"/>
      <w:numFmt w:val="bullet"/>
      <w:lvlText w:val="•"/>
      <w:lvlJc w:val="left"/>
      <w:pPr>
        <w:ind w:left="9385" w:hanging="587"/>
      </w:pPr>
      <w:rPr>
        <w:rFonts w:hint="default"/>
      </w:rPr>
    </w:lvl>
    <w:lvl w:ilvl="8">
      <w:start w:val="0"/>
      <w:numFmt w:val="bullet"/>
      <w:lvlText w:val="•"/>
      <w:lvlJc w:val="left"/>
      <w:pPr>
        <w:ind w:left="10623" w:hanging="587"/>
      </w:pPr>
      <w:rPr>
        <w:rFonts w:hint="default"/>
      </w:rPr>
    </w:lvl>
  </w:abstractNum>
  <w:abstractNum w:abstractNumId="3">
    <w:nsid w:val="0A20DF68"/>
    <w:multiLevelType w:val="hybridMultilevel"/>
    <w:tmpl w:val="00000000"/>
    <w:lvl w:ilvl="0">
      <w:start w:val="1"/>
      <w:numFmt w:val="decimal"/>
      <w:lvlText w:val="%1"/>
      <w:lvlJc w:val="left"/>
      <w:pPr>
        <w:ind w:left="770" w:hanging="630"/>
        <w:jc w:val="left"/>
      </w:pPr>
      <w:rPr>
        <w:rFonts w:hint="default"/>
      </w:rPr>
    </w:lvl>
    <w:lvl w:ilvl="1">
      <w:start w:val="1"/>
      <w:numFmt w:val="decimal"/>
      <w:lvlText w:val="%1.%2"/>
      <w:lvlJc w:val="left"/>
      <w:pPr>
        <w:ind w:left="770" w:hanging="630"/>
        <w:jc w:val="left"/>
      </w:pPr>
      <w:rPr>
        <w:rFonts w:ascii="Cambria" w:eastAsia="Cambria" w:hAnsi="Cambria" w:cs="Cambria" w:hint="default"/>
        <w:w w:val="95"/>
        <w:sz w:val="36"/>
        <w:szCs w:val="36"/>
      </w:rPr>
    </w:lvl>
    <w:lvl w:ilvl="2">
      <w:start w:val="0"/>
      <w:numFmt w:val="bullet"/>
      <w:lvlText w:val="•"/>
      <w:lvlJc w:val="left"/>
      <w:pPr>
        <w:ind w:left="1812" w:hanging="630"/>
      </w:pPr>
      <w:rPr>
        <w:rFonts w:hint="default"/>
      </w:rPr>
    </w:lvl>
    <w:lvl w:ilvl="3">
      <w:start w:val="0"/>
      <w:numFmt w:val="bullet"/>
      <w:lvlText w:val="•"/>
      <w:lvlJc w:val="left"/>
      <w:pPr>
        <w:ind w:left="2328" w:hanging="630"/>
      </w:pPr>
      <w:rPr>
        <w:rFonts w:hint="default"/>
      </w:rPr>
    </w:lvl>
    <w:lvl w:ilvl="4">
      <w:start w:val="0"/>
      <w:numFmt w:val="bullet"/>
      <w:lvlText w:val="•"/>
      <w:lvlJc w:val="left"/>
      <w:pPr>
        <w:ind w:left="2844" w:hanging="630"/>
      </w:pPr>
      <w:rPr>
        <w:rFonts w:hint="default"/>
      </w:rPr>
    </w:lvl>
    <w:lvl w:ilvl="5">
      <w:start w:val="0"/>
      <w:numFmt w:val="bullet"/>
      <w:lvlText w:val="•"/>
      <w:lvlJc w:val="left"/>
      <w:pPr>
        <w:ind w:left="3360" w:hanging="630"/>
      </w:pPr>
      <w:rPr>
        <w:rFonts w:hint="default"/>
      </w:rPr>
    </w:lvl>
    <w:lvl w:ilvl="6">
      <w:start w:val="0"/>
      <w:numFmt w:val="bullet"/>
      <w:lvlText w:val="•"/>
      <w:lvlJc w:val="left"/>
      <w:pPr>
        <w:ind w:left="3876" w:hanging="630"/>
      </w:pPr>
      <w:rPr>
        <w:rFonts w:hint="default"/>
      </w:rPr>
    </w:lvl>
    <w:lvl w:ilvl="7">
      <w:start w:val="0"/>
      <w:numFmt w:val="bullet"/>
      <w:lvlText w:val="•"/>
      <w:lvlJc w:val="left"/>
      <w:pPr>
        <w:ind w:left="4392" w:hanging="630"/>
      </w:pPr>
      <w:rPr>
        <w:rFonts w:hint="default"/>
      </w:rPr>
    </w:lvl>
    <w:lvl w:ilvl="8">
      <w:start w:val="0"/>
      <w:numFmt w:val="bullet"/>
      <w:lvlText w:val="•"/>
      <w:lvlJc w:val="left"/>
      <w:pPr>
        <w:ind w:left="4908" w:hanging="630"/>
      </w:pPr>
      <w:rPr>
        <w:rFonts w:hint="default"/>
      </w:rPr>
    </w:lvl>
  </w:abstractNum>
  <w:abstractNum w:abstractNumId="4">
    <w:nsid w:val="288660E2"/>
    <w:multiLevelType w:val="hybridMultilevel"/>
    <w:tmpl w:val="00000000"/>
    <w:lvl w:ilvl="0">
      <w:start w:val="1"/>
      <w:numFmt w:val="decimal"/>
      <w:lvlText w:val="（%1）"/>
      <w:lvlJc w:val="left"/>
      <w:pPr>
        <w:ind w:left="1217" w:hanging="1080"/>
        <w:jc w:val="left"/>
      </w:pPr>
      <w:rPr>
        <w:rFonts w:ascii="宋体" w:eastAsia="宋体" w:hAnsi="宋体" w:cs="宋体" w:hint="default"/>
        <w:spacing w:val="-1"/>
        <w:w w:val="100"/>
        <w:sz w:val="42"/>
        <w:szCs w:val="42"/>
      </w:rPr>
    </w:lvl>
    <w:lvl w:ilvl="1">
      <w:start w:val="0"/>
      <w:numFmt w:val="bullet"/>
      <w:lvlText w:val="•"/>
      <w:lvlJc w:val="left"/>
      <w:pPr>
        <w:ind w:left="2407" w:hanging="1080"/>
      </w:pPr>
      <w:rPr>
        <w:rFonts w:hint="default"/>
      </w:rPr>
    </w:lvl>
    <w:lvl w:ilvl="2">
      <w:start w:val="0"/>
      <w:numFmt w:val="bullet"/>
      <w:lvlText w:val="•"/>
      <w:lvlJc w:val="left"/>
      <w:pPr>
        <w:ind w:left="3595" w:hanging="1080"/>
      </w:pPr>
      <w:rPr>
        <w:rFonts w:hint="default"/>
      </w:rPr>
    </w:lvl>
    <w:lvl w:ilvl="3">
      <w:start w:val="0"/>
      <w:numFmt w:val="bullet"/>
      <w:lvlText w:val="•"/>
      <w:lvlJc w:val="left"/>
      <w:pPr>
        <w:ind w:left="4783" w:hanging="1080"/>
      </w:pPr>
      <w:rPr>
        <w:rFonts w:hint="default"/>
      </w:rPr>
    </w:lvl>
    <w:lvl w:ilvl="4">
      <w:start w:val="0"/>
      <w:numFmt w:val="bullet"/>
      <w:lvlText w:val="•"/>
      <w:lvlJc w:val="left"/>
      <w:pPr>
        <w:ind w:left="5971" w:hanging="1080"/>
      </w:pPr>
      <w:rPr>
        <w:rFonts w:hint="default"/>
      </w:rPr>
    </w:lvl>
    <w:lvl w:ilvl="5">
      <w:start w:val="0"/>
      <w:numFmt w:val="bullet"/>
      <w:lvlText w:val="•"/>
      <w:lvlJc w:val="left"/>
      <w:pPr>
        <w:ind w:left="7159" w:hanging="1080"/>
      </w:pPr>
      <w:rPr>
        <w:rFonts w:hint="default"/>
      </w:rPr>
    </w:lvl>
    <w:lvl w:ilvl="6">
      <w:start w:val="0"/>
      <w:numFmt w:val="bullet"/>
      <w:lvlText w:val="•"/>
      <w:lvlJc w:val="left"/>
      <w:pPr>
        <w:ind w:left="8347" w:hanging="1080"/>
      </w:pPr>
      <w:rPr>
        <w:rFonts w:hint="default"/>
      </w:rPr>
    </w:lvl>
    <w:lvl w:ilvl="7">
      <w:start w:val="0"/>
      <w:numFmt w:val="bullet"/>
      <w:lvlText w:val="•"/>
      <w:lvlJc w:val="left"/>
      <w:pPr>
        <w:ind w:left="9535" w:hanging="1080"/>
      </w:pPr>
      <w:rPr>
        <w:rFonts w:hint="default"/>
      </w:rPr>
    </w:lvl>
    <w:lvl w:ilvl="8">
      <w:start w:val="0"/>
      <w:numFmt w:val="bullet"/>
      <w:lvlText w:val="•"/>
      <w:lvlJc w:val="left"/>
      <w:pPr>
        <w:ind w:left="10723" w:hanging="1080"/>
      </w:pPr>
      <w:rPr>
        <w:rFonts w:hint="default"/>
      </w:rPr>
    </w:lvl>
  </w:abstractNum>
  <w:abstractNum w:abstractNumId="5">
    <w:nsid w:val="389D4227"/>
    <w:multiLevelType w:val="hybridMultilevel"/>
    <w:tmpl w:val="00000000"/>
    <w:lvl w:ilvl="0">
      <w:start w:val="1"/>
      <w:numFmt w:val="decimal"/>
      <w:lvlText w:val="（%1）"/>
      <w:lvlJc w:val="left"/>
      <w:pPr>
        <w:ind w:left="1042" w:hanging="902"/>
        <w:jc w:val="left"/>
      </w:pPr>
      <w:rPr>
        <w:rFonts w:ascii="宋体" w:eastAsia="宋体" w:hAnsi="宋体" w:cs="宋体" w:hint="default"/>
        <w:w w:val="90"/>
        <w:sz w:val="34"/>
        <w:szCs w:val="34"/>
      </w:rPr>
    </w:lvl>
    <w:lvl w:ilvl="1">
      <w:start w:val="0"/>
      <w:numFmt w:val="bullet"/>
      <w:lvlText w:val="•"/>
      <w:lvlJc w:val="left"/>
      <w:pPr>
        <w:ind w:left="1591" w:hanging="902"/>
      </w:pPr>
      <w:rPr>
        <w:rFonts w:hint="default"/>
      </w:rPr>
    </w:lvl>
    <w:lvl w:ilvl="2">
      <w:start w:val="0"/>
      <w:numFmt w:val="bullet"/>
      <w:lvlText w:val="•"/>
      <w:lvlJc w:val="left"/>
      <w:pPr>
        <w:ind w:left="2142" w:hanging="902"/>
      </w:pPr>
      <w:rPr>
        <w:rFonts w:hint="default"/>
      </w:rPr>
    </w:lvl>
    <w:lvl w:ilvl="3">
      <w:start w:val="0"/>
      <w:numFmt w:val="bullet"/>
      <w:lvlText w:val="•"/>
      <w:lvlJc w:val="left"/>
      <w:pPr>
        <w:ind w:left="2693" w:hanging="902"/>
      </w:pPr>
      <w:rPr>
        <w:rFonts w:hint="default"/>
      </w:rPr>
    </w:lvl>
    <w:lvl w:ilvl="4">
      <w:start w:val="0"/>
      <w:numFmt w:val="bullet"/>
      <w:lvlText w:val="•"/>
      <w:lvlJc w:val="left"/>
      <w:pPr>
        <w:ind w:left="3244" w:hanging="902"/>
      </w:pPr>
      <w:rPr>
        <w:rFonts w:hint="default"/>
      </w:rPr>
    </w:lvl>
    <w:lvl w:ilvl="5">
      <w:start w:val="0"/>
      <w:numFmt w:val="bullet"/>
      <w:lvlText w:val="•"/>
      <w:lvlJc w:val="left"/>
      <w:pPr>
        <w:ind w:left="3795" w:hanging="902"/>
      </w:pPr>
      <w:rPr>
        <w:rFonts w:hint="default"/>
      </w:rPr>
    </w:lvl>
    <w:lvl w:ilvl="6">
      <w:start w:val="0"/>
      <w:numFmt w:val="bullet"/>
      <w:lvlText w:val="•"/>
      <w:lvlJc w:val="left"/>
      <w:pPr>
        <w:ind w:left="4346" w:hanging="902"/>
      </w:pPr>
      <w:rPr>
        <w:rFonts w:hint="default"/>
      </w:rPr>
    </w:lvl>
    <w:lvl w:ilvl="7">
      <w:start w:val="0"/>
      <w:numFmt w:val="bullet"/>
      <w:lvlText w:val="•"/>
      <w:lvlJc w:val="left"/>
      <w:pPr>
        <w:ind w:left="4897" w:hanging="902"/>
      </w:pPr>
      <w:rPr>
        <w:rFonts w:hint="default"/>
      </w:rPr>
    </w:lvl>
    <w:lvl w:ilvl="8">
      <w:start w:val="0"/>
      <w:numFmt w:val="bullet"/>
      <w:lvlText w:val="•"/>
      <w:lvlJc w:val="left"/>
      <w:pPr>
        <w:ind w:left="5448" w:hanging="902"/>
      </w:pPr>
      <w:rPr>
        <w:rFonts w:hint="default"/>
      </w:rPr>
    </w:lvl>
  </w:abstractNum>
  <w:abstractNum w:abstractNumId="6">
    <w:nsid w:val="3B936C2E"/>
    <w:multiLevelType w:val="hybridMultilevel"/>
    <w:tmpl w:val="00000000"/>
    <w:lvl w:ilvl="0">
      <w:start w:val="1"/>
      <w:numFmt w:val="decimal"/>
      <w:lvlText w:val="%1"/>
      <w:lvlJc w:val="left"/>
      <w:pPr>
        <w:ind w:left="767" w:hanging="630"/>
        <w:jc w:val="left"/>
      </w:pPr>
      <w:rPr>
        <w:rFonts w:hint="default"/>
      </w:rPr>
    </w:lvl>
    <w:lvl w:ilvl="1">
      <w:start w:val="1"/>
      <w:numFmt w:val="decimal"/>
      <w:lvlText w:val="%1.%2"/>
      <w:lvlJc w:val="left"/>
      <w:pPr>
        <w:ind w:left="767" w:hanging="630"/>
        <w:jc w:val="left"/>
      </w:pPr>
      <w:rPr>
        <w:rFonts w:ascii="Arial Narrow" w:eastAsia="Arial Narrow" w:hAnsi="Arial Narrow" w:cs="Arial Narrow" w:hint="default"/>
        <w:b/>
        <w:bCs/>
        <w:w w:val="109"/>
        <w:sz w:val="42"/>
        <w:szCs w:val="42"/>
      </w:rPr>
    </w:lvl>
    <w:lvl w:ilvl="2">
      <w:start w:val="0"/>
      <w:numFmt w:val="bullet"/>
      <w:lvlText w:val="•"/>
      <w:lvlJc w:val="left"/>
      <w:pPr>
        <w:ind w:left="3227" w:hanging="630"/>
      </w:pPr>
      <w:rPr>
        <w:rFonts w:hint="default"/>
      </w:rPr>
    </w:lvl>
    <w:lvl w:ilvl="3">
      <w:start w:val="0"/>
      <w:numFmt w:val="bullet"/>
      <w:lvlText w:val="•"/>
      <w:lvlJc w:val="left"/>
      <w:pPr>
        <w:ind w:left="4461" w:hanging="630"/>
      </w:pPr>
      <w:rPr>
        <w:rFonts w:hint="default"/>
      </w:rPr>
    </w:lvl>
    <w:lvl w:ilvl="4">
      <w:start w:val="0"/>
      <w:numFmt w:val="bullet"/>
      <w:lvlText w:val="•"/>
      <w:lvlJc w:val="left"/>
      <w:pPr>
        <w:ind w:left="5695" w:hanging="630"/>
      </w:pPr>
      <w:rPr>
        <w:rFonts w:hint="default"/>
      </w:rPr>
    </w:lvl>
    <w:lvl w:ilvl="5">
      <w:start w:val="0"/>
      <w:numFmt w:val="bullet"/>
      <w:lvlText w:val="•"/>
      <w:lvlJc w:val="left"/>
      <w:pPr>
        <w:ind w:left="6929" w:hanging="630"/>
      </w:pPr>
      <w:rPr>
        <w:rFonts w:hint="default"/>
      </w:rPr>
    </w:lvl>
    <w:lvl w:ilvl="6">
      <w:start w:val="0"/>
      <w:numFmt w:val="bullet"/>
      <w:lvlText w:val="•"/>
      <w:lvlJc w:val="left"/>
      <w:pPr>
        <w:ind w:left="8163" w:hanging="630"/>
      </w:pPr>
      <w:rPr>
        <w:rFonts w:hint="default"/>
      </w:rPr>
    </w:lvl>
    <w:lvl w:ilvl="7">
      <w:start w:val="0"/>
      <w:numFmt w:val="bullet"/>
      <w:lvlText w:val="•"/>
      <w:lvlJc w:val="left"/>
      <w:pPr>
        <w:ind w:left="9397" w:hanging="630"/>
      </w:pPr>
      <w:rPr>
        <w:rFonts w:hint="default"/>
      </w:rPr>
    </w:lvl>
    <w:lvl w:ilvl="8">
      <w:start w:val="0"/>
      <w:numFmt w:val="bullet"/>
      <w:lvlText w:val="•"/>
      <w:lvlJc w:val="left"/>
      <w:pPr>
        <w:ind w:left="10631" w:hanging="630"/>
      </w:pPr>
      <w:rPr>
        <w:rFonts w:hint="default"/>
      </w:rPr>
    </w:lvl>
  </w:abstractNum>
  <w:abstractNum w:abstractNumId="7">
    <w:nsid w:val="43B7F9F6"/>
    <w:multiLevelType w:val="hybridMultilevel"/>
    <w:tmpl w:val="00000000"/>
    <w:lvl w:ilvl="0">
      <w:start w:val="1"/>
      <w:numFmt w:val="decimal"/>
      <w:lvlText w:val="%1."/>
      <w:lvlJc w:val="left"/>
      <w:pPr>
        <w:ind w:left="454" w:hanging="317"/>
        <w:jc w:val="left"/>
      </w:pPr>
      <w:rPr>
        <w:rFonts w:hint="default"/>
        <w:w w:val="95"/>
      </w:rPr>
    </w:lvl>
    <w:lvl w:ilvl="1">
      <w:start w:val="0"/>
      <w:numFmt w:val="bullet"/>
      <w:lvlText w:val="•"/>
      <w:lvlJc w:val="left"/>
      <w:pPr>
        <w:ind w:left="1723" w:hanging="317"/>
      </w:pPr>
      <w:rPr>
        <w:rFonts w:hint="default"/>
      </w:rPr>
    </w:lvl>
    <w:lvl w:ilvl="2">
      <w:start w:val="0"/>
      <w:numFmt w:val="bullet"/>
      <w:lvlText w:val="•"/>
      <w:lvlJc w:val="left"/>
      <w:pPr>
        <w:ind w:left="2987" w:hanging="317"/>
      </w:pPr>
      <w:rPr>
        <w:rFonts w:hint="default"/>
      </w:rPr>
    </w:lvl>
    <w:lvl w:ilvl="3">
      <w:start w:val="0"/>
      <w:numFmt w:val="bullet"/>
      <w:lvlText w:val="•"/>
      <w:lvlJc w:val="left"/>
      <w:pPr>
        <w:ind w:left="4251" w:hanging="317"/>
      </w:pPr>
      <w:rPr>
        <w:rFonts w:hint="default"/>
      </w:rPr>
    </w:lvl>
    <w:lvl w:ilvl="4">
      <w:start w:val="0"/>
      <w:numFmt w:val="bullet"/>
      <w:lvlText w:val="•"/>
      <w:lvlJc w:val="left"/>
      <w:pPr>
        <w:ind w:left="5515" w:hanging="317"/>
      </w:pPr>
      <w:rPr>
        <w:rFonts w:hint="default"/>
      </w:rPr>
    </w:lvl>
    <w:lvl w:ilvl="5">
      <w:start w:val="0"/>
      <w:numFmt w:val="bullet"/>
      <w:lvlText w:val="•"/>
      <w:lvlJc w:val="left"/>
      <w:pPr>
        <w:ind w:left="6779" w:hanging="317"/>
      </w:pPr>
      <w:rPr>
        <w:rFonts w:hint="default"/>
      </w:rPr>
    </w:lvl>
    <w:lvl w:ilvl="6">
      <w:start w:val="0"/>
      <w:numFmt w:val="bullet"/>
      <w:lvlText w:val="•"/>
      <w:lvlJc w:val="left"/>
      <w:pPr>
        <w:ind w:left="8043" w:hanging="317"/>
      </w:pPr>
      <w:rPr>
        <w:rFonts w:hint="default"/>
      </w:rPr>
    </w:lvl>
    <w:lvl w:ilvl="7">
      <w:start w:val="0"/>
      <w:numFmt w:val="bullet"/>
      <w:lvlText w:val="•"/>
      <w:lvlJc w:val="left"/>
      <w:pPr>
        <w:ind w:left="9307" w:hanging="317"/>
      </w:pPr>
      <w:rPr>
        <w:rFonts w:hint="default"/>
      </w:rPr>
    </w:lvl>
    <w:lvl w:ilvl="8">
      <w:start w:val="0"/>
      <w:numFmt w:val="bullet"/>
      <w:lvlText w:val="•"/>
      <w:lvlJc w:val="left"/>
      <w:pPr>
        <w:ind w:left="10571" w:hanging="317"/>
      </w:pPr>
      <w:rPr>
        <w:rFonts w:hint="default"/>
      </w:rPr>
    </w:lvl>
  </w:abstractNum>
  <w:abstractNum w:abstractNumId="8">
    <w:nsid w:val="5B6CF720"/>
    <w:multiLevelType w:val="hybridMultilevel"/>
    <w:tmpl w:val="00000000"/>
    <w:lvl w:ilvl="0">
      <w:start w:val="1"/>
      <w:numFmt w:val="decimal"/>
      <w:lvlText w:val="%1."/>
      <w:lvlJc w:val="left"/>
      <w:pPr>
        <w:ind w:left="454" w:hanging="317"/>
        <w:jc w:val="left"/>
      </w:pPr>
      <w:rPr>
        <w:rFonts w:hint="default"/>
        <w:w w:val="109"/>
      </w:rPr>
    </w:lvl>
    <w:lvl w:ilvl="1">
      <w:start w:val="0"/>
      <w:numFmt w:val="bullet"/>
      <w:lvlText w:val="•"/>
      <w:lvlJc w:val="left"/>
      <w:pPr>
        <w:ind w:left="1723" w:hanging="317"/>
      </w:pPr>
      <w:rPr>
        <w:rFonts w:hint="default"/>
      </w:rPr>
    </w:lvl>
    <w:lvl w:ilvl="2">
      <w:start w:val="0"/>
      <w:numFmt w:val="bullet"/>
      <w:lvlText w:val="•"/>
      <w:lvlJc w:val="left"/>
      <w:pPr>
        <w:ind w:left="2987" w:hanging="317"/>
      </w:pPr>
      <w:rPr>
        <w:rFonts w:hint="default"/>
      </w:rPr>
    </w:lvl>
    <w:lvl w:ilvl="3">
      <w:start w:val="0"/>
      <w:numFmt w:val="bullet"/>
      <w:lvlText w:val="•"/>
      <w:lvlJc w:val="left"/>
      <w:pPr>
        <w:ind w:left="4251" w:hanging="317"/>
      </w:pPr>
      <w:rPr>
        <w:rFonts w:hint="default"/>
      </w:rPr>
    </w:lvl>
    <w:lvl w:ilvl="4">
      <w:start w:val="0"/>
      <w:numFmt w:val="bullet"/>
      <w:lvlText w:val="•"/>
      <w:lvlJc w:val="left"/>
      <w:pPr>
        <w:ind w:left="5515" w:hanging="317"/>
      </w:pPr>
      <w:rPr>
        <w:rFonts w:hint="default"/>
      </w:rPr>
    </w:lvl>
    <w:lvl w:ilvl="5">
      <w:start w:val="0"/>
      <w:numFmt w:val="bullet"/>
      <w:lvlText w:val="•"/>
      <w:lvlJc w:val="left"/>
      <w:pPr>
        <w:ind w:left="6779" w:hanging="317"/>
      </w:pPr>
      <w:rPr>
        <w:rFonts w:hint="default"/>
      </w:rPr>
    </w:lvl>
    <w:lvl w:ilvl="6">
      <w:start w:val="0"/>
      <w:numFmt w:val="bullet"/>
      <w:lvlText w:val="•"/>
      <w:lvlJc w:val="left"/>
      <w:pPr>
        <w:ind w:left="8043" w:hanging="317"/>
      </w:pPr>
      <w:rPr>
        <w:rFonts w:hint="default"/>
      </w:rPr>
    </w:lvl>
    <w:lvl w:ilvl="7">
      <w:start w:val="0"/>
      <w:numFmt w:val="bullet"/>
      <w:lvlText w:val="•"/>
      <w:lvlJc w:val="left"/>
      <w:pPr>
        <w:ind w:left="9307" w:hanging="317"/>
      </w:pPr>
      <w:rPr>
        <w:rFonts w:hint="default"/>
      </w:rPr>
    </w:lvl>
    <w:lvl w:ilvl="8">
      <w:start w:val="0"/>
      <w:numFmt w:val="bullet"/>
      <w:lvlText w:val="•"/>
      <w:lvlJc w:val="left"/>
      <w:pPr>
        <w:ind w:left="10571" w:hanging="317"/>
      </w:pPr>
      <w:rPr>
        <w:rFonts w:hint="default"/>
      </w:rPr>
    </w:lvl>
  </w:abstractNum>
  <w:abstractNum w:abstractNumId="9">
    <w:nsid w:val="6A990BB8"/>
    <w:multiLevelType w:val="hybridMultilevel"/>
    <w:tmpl w:val="00000000"/>
    <w:lvl w:ilvl="0">
      <w:start w:val="1"/>
      <w:numFmt w:val="decimal"/>
      <w:lvlText w:val="%1."/>
      <w:lvlJc w:val="left"/>
      <w:pPr>
        <w:ind w:left="723" w:hanging="587"/>
        <w:jc w:val="left"/>
      </w:pPr>
      <w:rPr>
        <w:rFonts w:hint="default"/>
        <w:w w:val="109"/>
      </w:rPr>
    </w:lvl>
    <w:lvl w:ilvl="1">
      <w:start w:val="0"/>
      <w:numFmt w:val="bullet"/>
      <w:lvlText w:val="•"/>
      <w:lvlJc w:val="left"/>
      <w:pPr>
        <w:ind w:left="1957" w:hanging="587"/>
      </w:pPr>
      <w:rPr>
        <w:rFonts w:hint="default"/>
      </w:rPr>
    </w:lvl>
    <w:lvl w:ilvl="2">
      <w:start w:val="0"/>
      <w:numFmt w:val="bullet"/>
      <w:lvlText w:val="•"/>
      <w:lvlJc w:val="left"/>
      <w:pPr>
        <w:ind w:left="3195" w:hanging="587"/>
      </w:pPr>
      <w:rPr>
        <w:rFonts w:hint="default"/>
      </w:rPr>
    </w:lvl>
    <w:lvl w:ilvl="3">
      <w:start w:val="0"/>
      <w:numFmt w:val="bullet"/>
      <w:lvlText w:val="•"/>
      <w:lvlJc w:val="left"/>
      <w:pPr>
        <w:ind w:left="4433" w:hanging="587"/>
      </w:pPr>
      <w:rPr>
        <w:rFonts w:hint="default"/>
      </w:rPr>
    </w:lvl>
    <w:lvl w:ilvl="4">
      <w:start w:val="0"/>
      <w:numFmt w:val="bullet"/>
      <w:lvlText w:val="•"/>
      <w:lvlJc w:val="left"/>
      <w:pPr>
        <w:ind w:left="5671" w:hanging="587"/>
      </w:pPr>
      <w:rPr>
        <w:rFonts w:hint="default"/>
      </w:rPr>
    </w:lvl>
    <w:lvl w:ilvl="5">
      <w:start w:val="0"/>
      <w:numFmt w:val="bullet"/>
      <w:lvlText w:val="•"/>
      <w:lvlJc w:val="left"/>
      <w:pPr>
        <w:ind w:left="6909" w:hanging="587"/>
      </w:pPr>
      <w:rPr>
        <w:rFonts w:hint="default"/>
      </w:rPr>
    </w:lvl>
    <w:lvl w:ilvl="6">
      <w:start w:val="0"/>
      <w:numFmt w:val="bullet"/>
      <w:lvlText w:val="•"/>
      <w:lvlJc w:val="left"/>
      <w:pPr>
        <w:ind w:left="8147" w:hanging="587"/>
      </w:pPr>
      <w:rPr>
        <w:rFonts w:hint="default"/>
      </w:rPr>
    </w:lvl>
    <w:lvl w:ilvl="7">
      <w:start w:val="0"/>
      <w:numFmt w:val="bullet"/>
      <w:lvlText w:val="•"/>
      <w:lvlJc w:val="left"/>
      <w:pPr>
        <w:ind w:left="9385" w:hanging="587"/>
      </w:pPr>
      <w:rPr>
        <w:rFonts w:hint="default"/>
      </w:rPr>
    </w:lvl>
    <w:lvl w:ilvl="8">
      <w:start w:val="0"/>
      <w:numFmt w:val="bullet"/>
      <w:lvlText w:val="•"/>
      <w:lvlJc w:val="left"/>
      <w:pPr>
        <w:ind w:left="10623" w:hanging="587"/>
      </w:pPr>
      <w:rPr>
        <w:rFonts w:hint="default"/>
      </w:rPr>
    </w:lvl>
  </w:abstractNum>
  <w:abstractNum w:abstractNumId="10">
    <w:nsid w:val="6EB9351D"/>
    <w:multiLevelType w:val="hybridMultilevel"/>
    <w:tmpl w:val="00000000"/>
    <w:lvl w:ilvl="0">
      <w:start w:val="1"/>
      <w:numFmt w:val="decimal"/>
      <w:lvlText w:val="（%1）"/>
      <w:lvlJc w:val="left"/>
      <w:pPr>
        <w:ind w:left="1192" w:hanging="1056"/>
        <w:jc w:val="left"/>
      </w:pPr>
      <w:rPr>
        <w:rFonts w:ascii="宋体" w:eastAsia="宋体" w:hAnsi="宋体" w:cs="宋体" w:hint="default"/>
        <w:spacing w:val="-1"/>
        <w:w w:val="100"/>
        <w:sz w:val="40"/>
        <w:szCs w:val="40"/>
      </w:rPr>
    </w:lvl>
    <w:lvl w:ilvl="1">
      <w:start w:val="0"/>
      <w:numFmt w:val="bullet"/>
      <w:lvlText w:val="•"/>
      <w:lvlJc w:val="left"/>
      <w:pPr>
        <w:ind w:left="2389" w:hanging="1056"/>
      </w:pPr>
      <w:rPr>
        <w:rFonts w:hint="default"/>
      </w:rPr>
    </w:lvl>
    <w:lvl w:ilvl="2">
      <w:start w:val="0"/>
      <w:numFmt w:val="bullet"/>
      <w:lvlText w:val="•"/>
      <w:lvlJc w:val="left"/>
      <w:pPr>
        <w:ind w:left="3579" w:hanging="1056"/>
      </w:pPr>
      <w:rPr>
        <w:rFonts w:hint="default"/>
      </w:rPr>
    </w:lvl>
    <w:lvl w:ilvl="3">
      <w:start w:val="0"/>
      <w:numFmt w:val="bullet"/>
      <w:lvlText w:val="•"/>
      <w:lvlJc w:val="left"/>
      <w:pPr>
        <w:ind w:left="4769" w:hanging="1056"/>
      </w:pPr>
      <w:rPr>
        <w:rFonts w:hint="default"/>
      </w:rPr>
    </w:lvl>
    <w:lvl w:ilvl="4">
      <w:start w:val="0"/>
      <w:numFmt w:val="bullet"/>
      <w:lvlText w:val="•"/>
      <w:lvlJc w:val="left"/>
      <w:pPr>
        <w:ind w:left="5959" w:hanging="1056"/>
      </w:pPr>
      <w:rPr>
        <w:rFonts w:hint="default"/>
      </w:rPr>
    </w:lvl>
    <w:lvl w:ilvl="5">
      <w:start w:val="0"/>
      <w:numFmt w:val="bullet"/>
      <w:lvlText w:val="•"/>
      <w:lvlJc w:val="left"/>
      <w:pPr>
        <w:ind w:left="7149" w:hanging="1056"/>
      </w:pPr>
      <w:rPr>
        <w:rFonts w:hint="default"/>
      </w:rPr>
    </w:lvl>
    <w:lvl w:ilvl="6">
      <w:start w:val="0"/>
      <w:numFmt w:val="bullet"/>
      <w:lvlText w:val="•"/>
      <w:lvlJc w:val="left"/>
      <w:pPr>
        <w:ind w:left="8339" w:hanging="1056"/>
      </w:pPr>
      <w:rPr>
        <w:rFonts w:hint="default"/>
      </w:rPr>
    </w:lvl>
    <w:lvl w:ilvl="7">
      <w:start w:val="0"/>
      <w:numFmt w:val="bullet"/>
      <w:lvlText w:val="•"/>
      <w:lvlJc w:val="left"/>
      <w:pPr>
        <w:ind w:left="9529" w:hanging="1056"/>
      </w:pPr>
      <w:rPr>
        <w:rFonts w:hint="default"/>
      </w:rPr>
    </w:lvl>
    <w:lvl w:ilvl="8">
      <w:start w:val="0"/>
      <w:numFmt w:val="bullet"/>
      <w:lvlText w:val="•"/>
      <w:lvlJc w:val="left"/>
      <w:pPr>
        <w:ind w:left="10719" w:hanging="1056"/>
      </w:pPr>
      <w:rPr>
        <w:rFonts w:hint="default"/>
      </w:rPr>
    </w:lvl>
  </w:abstractNum>
  <w:abstractNum w:abstractNumId="11">
    <w:nsid w:val="6F147C99"/>
    <w:multiLevelType w:val="hybridMultilevel"/>
    <w:tmpl w:val="00000000"/>
    <w:lvl w:ilvl="0">
      <w:start w:val="1"/>
      <w:numFmt w:val="decimal"/>
      <w:lvlText w:val="（%1）"/>
      <w:lvlJc w:val="left"/>
      <w:pPr>
        <w:ind w:left="1041" w:hanging="901"/>
        <w:jc w:val="left"/>
      </w:pPr>
      <w:rPr>
        <w:rFonts w:ascii="宋体" w:eastAsia="宋体" w:hAnsi="宋体" w:cs="宋体" w:hint="default"/>
        <w:spacing w:val="-1"/>
        <w:w w:val="90"/>
        <w:sz w:val="34"/>
        <w:szCs w:val="34"/>
      </w:rPr>
    </w:lvl>
    <w:lvl w:ilvl="1">
      <w:start w:val="0"/>
      <w:numFmt w:val="bullet"/>
      <w:lvlText w:val="•"/>
      <w:lvlJc w:val="left"/>
      <w:pPr>
        <w:ind w:left="1530" w:hanging="901"/>
      </w:pPr>
      <w:rPr>
        <w:rFonts w:hint="default"/>
      </w:rPr>
    </w:lvl>
    <w:lvl w:ilvl="2">
      <w:start w:val="0"/>
      <w:numFmt w:val="bullet"/>
      <w:lvlText w:val="•"/>
      <w:lvlJc w:val="left"/>
      <w:pPr>
        <w:ind w:left="2020" w:hanging="901"/>
      </w:pPr>
      <w:rPr>
        <w:rFonts w:hint="default"/>
      </w:rPr>
    </w:lvl>
    <w:lvl w:ilvl="3">
      <w:start w:val="0"/>
      <w:numFmt w:val="bullet"/>
      <w:lvlText w:val="•"/>
      <w:lvlJc w:val="left"/>
      <w:pPr>
        <w:ind w:left="2510" w:hanging="901"/>
      </w:pPr>
      <w:rPr>
        <w:rFonts w:hint="default"/>
      </w:rPr>
    </w:lvl>
    <w:lvl w:ilvl="4">
      <w:start w:val="0"/>
      <w:numFmt w:val="bullet"/>
      <w:lvlText w:val="•"/>
      <w:lvlJc w:val="left"/>
      <w:pPr>
        <w:ind w:left="3000" w:hanging="901"/>
      </w:pPr>
      <w:rPr>
        <w:rFonts w:hint="default"/>
      </w:rPr>
    </w:lvl>
    <w:lvl w:ilvl="5">
      <w:start w:val="0"/>
      <w:numFmt w:val="bullet"/>
      <w:lvlText w:val="•"/>
      <w:lvlJc w:val="left"/>
      <w:pPr>
        <w:ind w:left="3490" w:hanging="901"/>
      </w:pPr>
      <w:rPr>
        <w:rFonts w:hint="default"/>
      </w:rPr>
    </w:lvl>
    <w:lvl w:ilvl="6">
      <w:start w:val="0"/>
      <w:numFmt w:val="bullet"/>
      <w:lvlText w:val="•"/>
      <w:lvlJc w:val="left"/>
      <w:pPr>
        <w:ind w:left="3980" w:hanging="901"/>
      </w:pPr>
      <w:rPr>
        <w:rFonts w:hint="default"/>
      </w:rPr>
    </w:lvl>
    <w:lvl w:ilvl="7">
      <w:start w:val="0"/>
      <w:numFmt w:val="bullet"/>
      <w:lvlText w:val="•"/>
      <w:lvlJc w:val="left"/>
      <w:pPr>
        <w:ind w:left="4470" w:hanging="901"/>
      </w:pPr>
      <w:rPr>
        <w:rFonts w:hint="default"/>
      </w:rPr>
    </w:lvl>
    <w:lvl w:ilvl="8">
      <w:start w:val="0"/>
      <w:numFmt w:val="bullet"/>
      <w:lvlText w:val="•"/>
      <w:lvlJc w:val="left"/>
      <w:pPr>
        <w:ind w:left="4960" w:hanging="901"/>
      </w:pPr>
      <w:rPr>
        <w:rFonts w:hint="default"/>
      </w:rPr>
    </w:lvl>
  </w:abstractNum>
  <w:abstractNum w:abstractNumId="12">
    <w:nsid w:val="6FCDE5DF"/>
    <w:multiLevelType w:val="hybridMultilevel"/>
    <w:tmpl w:val="00000000"/>
    <w:lvl w:ilvl="0">
      <w:start w:val="1"/>
      <w:numFmt w:val="decimal"/>
      <w:lvlText w:val="（%1）"/>
      <w:lvlJc w:val="left"/>
      <w:pPr>
        <w:ind w:left="1192" w:hanging="1056"/>
        <w:jc w:val="left"/>
      </w:pPr>
      <w:rPr>
        <w:rFonts w:ascii="宋体" w:eastAsia="宋体" w:hAnsi="宋体" w:cs="宋体" w:hint="default"/>
        <w:spacing w:val="-1"/>
        <w:w w:val="100"/>
        <w:sz w:val="40"/>
        <w:szCs w:val="40"/>
      </w:rPr>
    </w:lvl>
    <w:lvl w:ilvl="1">
      <w:start w:val="0"/>
      <w:numFmt w:val="bullet"/>
      <w:lvlText w:val="•"/>
      <w:lvlJc w:val="left"/>
      <w:pPr>
        <w:ind w:left="2389" w:hanging="1056"/>
      </w:pPr>
      <w:rPr>
        <w:rFonts w:hint="default"/>
      </w:rPr>
    </w:lvl>
    <w:lvl w:ilvl="2">
      <w:start w:val="0"/>
      <w:numFmt w:val="bullet"/>
      <w:lvlText w:val="•"/>
      <w:lvlJc w:val="left"/>
      <w:pPr>
        <w:ind w:left="3579" w:hanging="1056"/>
      </w:pPr>
      <w:rPr>
        <w:rFonts w:hint="default"/>
      </w:rPr>
    </w:lvl>
    <w:lvl w:ilvl="3">
      <w:start w:val="0"/>
      <w:numFmt w:val="bullet"/>
      <w:lvlText w:val="•"/>
      <w:lvlJc w:val="left"/>
      <w:pPr>
        <w:ind w:left="4769" w:hanging="1056"/>
      </w:pPr>
      <w:rPr>
        <w:rFonts w:hint="default"/>
      </w:rPr>
    </w:lvl>
    <w:lvl w:ilvl="4">
      <w:start w:val="0"/>
      <w:numFmt w:val="bullet"/>
      <w:lvlText w:val="•"/>
      <w:lvlJc w:val="left"/>
      <w:pPr>
        <w:ind w:left="5959" w:hanging="1056"/>
      </w:pPr>
      <w:rPr>
        <w:rFonts w:hint="default"/>
      </w:rPr>
    </w:lvl>
    <w:lvl w:ilvl="5">
      <w:start w:val="0"/>
      <w:numFmt w:val="bullet"/>
      <w:lvlText w:val="•"/>
      <w:lvlJc w:val="left"/>
      <w:pPr>
        <w:ind w:left="7149" w:hanging="1056"/>
      </w:pPr>
      <w:rPr>
        <w:rFonts w:hint="default"/>
      </w:rPr>
    </w:lvl>
    <w:lvl w:ilvl="6">
      <w:start w:val="0"/>
      <w:numFmt w:val="bullet"/>
      <w:lvlText w:val="•"/>
      <w:lvlJc w:val="left"/>
      <w:pPr>
        <w:ind w:left="8339" w:hanging="1056"/>
      </w:pPr>
      <w:rPr>
        <w:rFonts w:hint="default"/>
      </w:rPr>
    </w:lvl>
    <w:lvl w:ilvl="7">
      <w:start w:val="0"/>
      <w:numFmt w:val="bullet"/>
      <w:lvlText w:val="•"/>
      <w:lvlJc w:val="left"/>
      <w:pPr>
        <w:ind w:left="9529" w:hanging="1056"/>
      </w:pPr>
      <w:rPr>
        <w:rFonts w:hint="default"/>
      </w:rPr>
    </w:lvl>
    <w:lvl w:ilvl="8">
      <w:start w:val="0"/>
      <w:numFmt w:val="bullet"/>
      <w:lvlText w:val="•"/>
      <w:lvlJc w:val="left"/>
      <w:pPr>
        <w:ind w:left="10719" w:hanging="1056"/>
      </w:pPr>
      <w:rPr>
        <w:rFonts w:hint="default"/>
      </w:rPr>
    </w:lvl>
  </w:abstractNum>
  <w:abstractNum w:abstractNumId="13">
    <w:nsid w:val="75804F99"/>
    <w:multiLevelType w:val="hybridMultilevel"/>
    <w:tmpl w:val="00000000"/>
    <w:lvl w:ilvl="0">
      <w:start w:val="1"/>
      <w:numFmt w:val="decimal"/>
      <w:lvlText w:val="（%1）"/>
      <w:lvlJc w:val="left"/>
      <w:pPr>
        <w:ind w:left="1192" w:hanging="1056"/>
        <w:jc w:val="left"/>
      </w:pPr>
      <w:rPr>
        <w:rFonts w:ascii="宋体" w:eastAsia="宋体" w:hAnsi="宋体" w:cs="宋体" w:hint="default"/>
        <w:spacing w:val="-1"/>
        <w:w w:val="90"/>
        <w:sz w:val="40"/>
        <w:szCs w:val="40"/>
      </w:rPr>
    </w:lvl>
    <w:lvl w:ilvl="1">
      <w:start w:val="0"/>
      <w:numFmt w:val="bullet"/>
      <w:lvlText w:val="•"/>
      <w:lvlJc w:val="left"/>
      <w:pPr>
        <w:ind w:left="2389" w:hanging="1056"/>
      </w:pPr>
      <w:rPr>
        <w:rFonts w:hint="default"/>
      </w:rPr>
    </w:lvl>
    <w:lvl w:ilvl="2">
      <w:start w:val="0"/>
      <w:numFmt w:val="bullet"/>
      <w:lvlText w:val="•"/>
      <w:lvlJc w:val="left"/>
      <w:pPr>
        <w:ind w:left="3579" w:hanging="1056"/>
      </w:pPr>
      <w:rPr>
        <w:rFonts w:hint="default"/>
      </w:rPr>
    </w:lvl>
    <w:lvl w:ilvl="3">
      <w:start w:val="0"/>
      <w:numFmt w:val="bullet"/>
      <w:lvlText w:val="•"/>
      <w:lvlJc w:val="left"/>
      <w:pPr>
        <w:ind w:left="4769" w:hanging="1056"/>
      </w:pPr>
      <w:rPr>
        <w:rFonts w:hint="default"/>
      </w:rPr>
    </w:lvl>
    <w:lvl w:ilvl="4">
      <w:start w:val="0"/>
      <w:numFmt w:val="bullet"/>
      <w:lvlText w:val="•"/>
      <w:lvlJc w:val="left"/>
      <w:pPr>
        <w:ind w:left="5959" w:hanging="1056"/>
      </w:pPr>
      <w:rPr>
        <w:rFonts w:hint="default"/>
      </w:rPr>
    </w:lvl>
    <w:lvl w:ilvl="5">
      <w:start w:val="0"/>
      <w:numFmt w:val="bullet"/>
      <w:lvlText w:val="•"/>
      <w:lvlJc w:val="left"/>
      <w:pPr>
        <w:ind w:left="7149" w:hanging="1056"/>
      </w:pPr>
      <w:rPr>
        <w:rFonts w:hint="default"/>
      </w:rPr>
    </w:lvl>
    <w:lvl w:ilvl="6">
      <w:start w:val="0"/>
      <w:numFmt w:val="bullet"/>
      <w:lvlText w:val="•"/>
      <w:lvlJc w:val="left"/>
      <w:pPr>
        <w:ind w:left="8339" w:hanging="1056"/>
      </w:pPr>
      <w:rPr>
        <w:rFonts w:hint="default"/>
      </w:rPr>
    </w:lvl>
    <w:lvl w:ilvl="7">
      <w:start w:val="0"/>
      <w:numFmt w:val="bullet"/>
      <w:lvlText w:val="•"/>
      <w:lvlJc w:val="left"/>
      <w:pPr>
        <w:ind w:left="9529" w:hanging="1056"/>
      </w:pPr>
      <w:rPr>
        <w:rFonts w:hint="default"/>
      </w:rPr>
    </w:lvl>
    <w:lvl w:ilvl="8">
      <w:start w:val="0"/>
      <w:numFmt w:val="bullet"/>
      <w:lvlText w:val="•"/>
      <w:lvlJc w:val="left"/>
      <w:pPr>
        <w:ind w:left="10719" w:hanging="1056"/>
      </w:pPr>
      <w:rPr>
        <w:rFonts w:hint="default"/>
      </w:rPr>
    </w:lvl>
  </w:abstractNum>
  <w:abstractNum w:abstractNumId="14">
    <w:nsid w:val="7684B18C"/>
    <w:multiLevelType w:val="hybridMultilevel"/>
    <w:tmpl w:val="00000000"/>
    <w:lvl w:ilvl="0">
      <w:start w:val="1"/>
      <w:numFmt w:val="decimal"/>
      <w:lvlText w:val="（%1）"/>
      <w:lvlJc w:val="left"/>
      <w:pPr>
        <w:ind w:left="1217" w:hanging="1080"/>
        <w:jc w:val="left"/>
      </w:pPr>
      <w:rPr>
        <w:rFonts w:ascii="宋体" w:eastAsia="宋体" w:hAnsi="宋体" w:cs="宋体" w:hint="default"/>
        <w:spacing w:val="-1"/>
        <w:w w:val="90"/>
        <w:sz w:val="42"/>
        <w:szCs w:val="42"/>
      </w:rPr>
    </w:lvl>
    <w:lvl w:ilvl="1">
      <w:start w:val="0"/>
      <w:numFmt w:val="bullet"/>
      <w:lvlText w:val="•"/>
      <w:lvlJc w:val="left"/>
      <w:pPr>
        <w:ind w:left="2407" w:hanging="1080"/>
      </w:pPr>
      <w:rPr>
        <w:rFonts w:hint="default"/>
      </w:rPr>
    </w:lvl>
    <w:lvl w:ilvl="2">
      <w:start w:val="0"/>
      <w:numFmt w:val="bullet"/>
      <w:lvlText w:val="•"/>
      <w:lvlJc w:val="left"/>
      <w:pPr>
        <w:ind w:left="3595" w:hanging="1080"/>
      </w:pPr>
      <w:rPr>
        <w:rFonts w:hint="default"/>
      </w:rPr>
    </w:lvl>
    <w:lvl w:ilvl="3">
      <w:start w:val="0"/>
      <w:numFmt w:val="bullet"/>
      <w:lvlText w:val="•"/>
      <w:lvlJc w:val="left"/>
      <w:pPr>
        <w:ind w:left="4783" w:hanging="1080"/>
      </w:pPr>
      <w:rPr>
        <w:rFonts w:hint="default"/>
      </w:rPr>
    </w:lvl>
    <w:lvl w:ilvl="4">
      <w:start w:val="0"/>
      <w:numFmt w:val="bullet"/>
      <w:lvlText w:val="•"/>
      <w:lvlJc w:val="left"/>
      <w:pPr>
        <w:ind w:left="5971" w:hanging="1080"/>
      </w:pPr>
      <w:rPr>
        <w:rFonts w:hint="default"/>
      </w:rPr>
    </w:lvl>
    <w:lvl w:ilvl="5">
      <w:start w:val="0"/>
      <w:numFmt w:val="bullet"/>
      <w:lvlText w:val="•"/>
      <w:lvlJc w:val="left"/>
      <w:pPr>
        <w:ind w:left="7159" w:hanging="1080"/>
      </w:pPr>
      <w:rPr>
        <w:rFonts w:hint="default"/>
      </w:rPr>
    </w:lvl>
    <w:lvl w:ilvl="6">
      <w:start w:val="0"/>
      <w:numFmt w:val="bullet"/>
      <w:lvlText w:val="•"/>
      <w:lvlJc w:val="left"/>
      <w:pPr>
        <w:ind w:left="8347" w:hanging="1080"/>
      </w:pPr>
      <w:rPr>
        <w:rFonts w:hint="default"/>
      </w:rPr>
    </w:lvl>
    <w:lvl w:ilvl="7">
      <w:start w:val="0"/>
      <w:numFmt w:val="bullet"/>
      <w:lvlText w:val="•"/>
      <w:lvlJc w:val="left"/>
      <w:pPr>
        <w:ind w:left="9535" w:hanging="1080"/>
      </w:pPr>
      <w:rPr>
        <w:rFonts w:hint="default"/>
      </w:rPr>
    </w:lvl>
    <w:lvl w:ilvl="8">
      <w:start w:val="0"/>
      <w:numFmt w:val="bullet"/>
      <w:lvlText w:val="•"/>
      <w:lvlJc w:val="left"/>
      <w:pPr>
        <w:ind w:left="10723" w:hanging="1080"/>
      </w:pPr>
      <w:rPr>
        <w:rFonts w:hint="default"/>
      </w:rPr>
    </w:lvl>
  </w:abstractNum>
  <w:abstractNum w:abstractNumId="15">
    <w:nsid w:val="797F9207"/>
    <w:multiLevelType w:val="hybridMultilevel"/>
    <w:tmpl w:val="00000000"/>
    <w:lvl w:ilvl="0">
      <w:start w:val="1"/>
      <w:numFmt w:val="decimal"/>
      <w:lvlText w:val="（%1）"/>
      <w:lvlJc w:val="left"/>
      <w:pPr>
        <w:ind w:left="1042" w:hanging="902"/>
        <w:jc w:val="left"/>
      </w:pPr>
      <w:rPr>
        <w:rFonts w:ascii="宋体" w:eastAsia="宋体" w:hAnsi="宋体" w:cs="宋体" w:hint="default"/>
        <w:w w:val="90"/>
        <w:sz w:val="34"/>
        <w:szCs w:val="34"/>
      </w:rPr>
    </w:lvl>
    <w:lvl w:ilvl="1">
      <w:start w:val="0"/>
      <w:numFmt w:val="bullet"/>
      <w:lvlText w:val="•"/>
      <w:lvlJc w:val="left"/>
      <w:pPr>
        <w:ind w:left="1591" w:hanging="902"/>
      </w:pPr>
      <w:rPr>
        <w:rFonts w:hint="default"/>
      </w:rPr>
    </w:lvl>
    <w:lvl w:ilvl="2">
      <w:start w:val="0"/>
      <w:numFmt w:val="bullet"/>
      <w:lvlText w:val="•"/>
      <w:lvlJc w:val="left"/>
      <w:pPr>
        <w:ind w:left="2142" w:hanging="902"/>
      </w:pPr>
      <w:rPr>
        <w:rFonts w:hint="default"/>
      </w:rPr>
    </w:lvl>
    <w:lvl w:ilvl="3">
      <w:start w:val="0"/>
      <w:numFmt w:val="bullet"/>
      <w:lvlText w:val="•"/>
      <w:lvlJc w:val="left"/>
      <w:pPr>
        <w:ind w:left="2693" w:hanging="902"/>
      </w:pPr>
      <w:rPr>
        <w:rFonts w:hint="default"/>
      </w:rPr>
    </w:lvl>
    <w:lvl w:ilvl="4">
      <w:start w:val="0"/>
      <w:numFmt w:val="bullet"/>
      <w:lvlText w:val="•"/>
      <w:lvlJc w:val="left"/>
      <w:pPr>
        <w:ind w:left="3244" w:hanging="902"/>
      </w:pPr>
      <w:rPr>
        <w:rFonts w:hint="default"/>
      </w:rPr>
    </w:lvl>
    <w:lvl w:ilvl="5">
      <w:start w:val="0"/>
      <w:numFmt w:val="bullet"/>
      <w:lvlText w:val="•"/>
      <w:lvlJc w:val="left"/>
      <w:pPr>
        <w:ind w:left="3795" w:hanging="902"/>
      </w:pPr>
      <w:rPr>
        <w:rFonts w:hint="default"/>
      </w:rPr>
    </w:lvl>
    <w:lvl w:ilvl="6">
      <w:start w:val="0"/>
      <w:numFmt w:val="bullet"/>
      <w:lvlText w:val="•"/>
      <w:lvlJc w:val="left"/>
      <w:pPr>
        <w:ind w:left="4346" w:hanging="902"/>
      </w:pPr>
      <w:rPr>
        <w:rFonts w:hint="default"/>
      </w:rPr>
    </w:lvl>
    <w:lvl w:ilvl="7">
      <w:start w:val="0"/>
      <w:numFmt w:val="bullet"/>
      <w:lvlText w:val="•"/>
      <w:lvlJc w:val="left"/>
      <w:pPr>
        <w:ind w:left="4897" w:hanging="902"/>
      </w:pPr>
      <w:rPr>
        <w:rFonts w:hint="default"/>
      </w:rPr>
    </w:lvl>
    <w:lvl w:ilvl="8">
      <w:start w:val="0"/>
      <w:numFmt w:val="bullet"/>
      <w:lvlText w:val="•"/>
      <w:lvlJc w:val="left"/>
      <w:pPr>
        <w:ind w:left="5448" w:hanging="902"/>
      </w:pPr>
      <w:rPr>
        <w:rFonts w:hint="default"/>
      </w:rPr>
    </w:lvl>
  </w:abstractNum>
  <w:num w:numId="1">
    <w:abstractNumId w:val="9"/>
  </w:num>
  <w:num w:numId="2">
    <w:abstractNumId w:val="2"/>
  </w:num>
  <w:num w:numId="3">
    <w:abstractNumId w:val="4"/>
  </w:num>
  <w:num w:numId="4">
    <w:abstractNumId w:val="0"/>
  </w:num>
  <w:num w:numId="5">
    <w:abstractNumId w:val="8"/>
  </w:num>
  <w:num w:numId="6">
    <w:abstractNumId w:val="10"/>
  </w:num>
  <w:num w:numId="7">
    <w:abstractNumId w:val="12"/>
  </w:num>
  <w:num w:numId="8">
    <w:abstractNumId w:val="14"/>
  </w:num>
  <w:num w:numId="9">
    <w:abstractNumId w:val="13"/>
  </w:num>
  <w:num w:numId="10">
    <w:abstractNumId w:val="7"/>
  </w:num>
  <w:num w:numId="11">
    <w:abstractNumId w:val="6"/>
  </w:num>
  <w:num w:numId="12">
    <w:abstractNumId w:val="15"/>
  </w:num>
  <w:num w:numId="13">
    <w:abstractNumId w:val="1"/>
  </w:num>
  <w:num w:numId="14">
    <w:abstractNumId w:val="5"/>
  </w:num>
  <w:num w:numId="15">
    <w:abstractNumId w:val="11"/>
  </w:num>
  <w:num w:numId="1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character" w:default="1" w:styleId="DefaultParagraphFont">
    <w:name w:val="Default Paragraph Font"/>
    <w:uiPriority w:val="1"/>
    <w:semiHidden/>
    <w:unhideWhenUsed/>
  </w:style>
  <w:style w:type="table" w:default="1" w:styleId="TableNormal">
    <w:name w:val="Normal Table"/>
    <w:uiPriority w:val="2"/>
    <w:semiHidden/>
    <w:unhideWhenUsed/>
    <w:qFormat/>
    <w:tblPr>
      <w:tblInd w:w="0" w:type="dxa"/>
      <w:tblCellMar>
        <w:top w:w="0" w:type="dxa"/>
        <w:left w:w="0" w:type="dxa"/>
        <w:bottom w:w="0" w:type="dxa"/>
        <w:right w:w="0" w:type="dxa"/>
      </w:tblCellMar>
    </w:tblPr>
  </w:style>
  <w:style w:type="numbering" w:default="1" w:styleId="NoList">
    <w:name w:val="No List"/>
    <w:uiPriority w:val="99"/>
    <w:semiHidden/>
    <w:unhideWhenUsed/>
  </w:style>
  <w:style w:type="paragraph" w:styleId="BodyText">
    <w:name w:val="Body Text"/>
    <w:basedOn w:val="Normal"/>
    <w:uiPriority w:val="1"/>
    <w:qFormat/>
    <w:pPr>
      <w:ind w:left="137"/>
    </w:pPr>
    <w:rPr>
      <w:rFonts w:ascii="宋体" w:eastAsia="宋体" w:hAnsi="宋体" w:cs="宋体"/>
      <w:sz w:val="42"/>
      <w:szCs w:val="42"/>
    </w:rPr>
  </w:style>
  <w:style w:type="paragraph" w:customStyle="1" w:styleId="Heading1">
    <w:name w:val="Heading 1"/>
    <w:basedOn w:val="Normal"/>
    <w:uiPriority w:val="1"/>
    <w:qFormat/>
    <w:pPr>
      <w:spacing w:line="931" w:lineRule="exact"/>
      <w:outlineLvl w:val="1"/>
    </w:pPr>
    <w:rPr>
      <w:rFonts w:ascii="宋体" w:eastAsia="宋体" w:hAnsi="宋体" w:cs="宋体"/>
      <w:b/>
      <w:bCs/>
      <w:sz w:val="108"/>
      <w:szCs w:val="108"/>
    </w:rPr>
  </w:style>
  <w:style w:type="paragraph" w:customStyle="1" w:styleId="Heading2">
    <w:name w:val="Heading 2"/>
    <w:basedOn w:val="Normal"/>
    <w:uiPriority w:val="1"/>
    <w:qFormat/>
    <w:pPr>
      <w:spacing w:line="537" w:lineRule="exact"/>
      <w:ind w:left="767" w:hanging="630"/>
      <w:outlineLvl w:val="2"/>
    </w:pPr>
    <w:rPr>
      <w:rFonts w:ascii="宋体" w:eastAsia="宋体" w:hAnsi="宋体" w:cs="宋体"/>
      <w:b/>
      <w:bCs/>
      <w:sz w:val="42"/>
      <w:szCs w:val="42"/>
    </w:rPr>
  </w:style>
  <w:style w:type="paragraph" w:styleId="ListParagraph">
    <w:name w:val="List Paragraph"/>
    <w:basedOn w:val="Normal"/>
    <w:uiPriority w:val="1"/>
    <w:qFormat/>
    <w:pPr>
      <w:ind w:left="454" w:hanging="903"/>
    </w:pPr>
    <w:rPr>
      <w:rFonts w:ascii="宋体" w:eastAsia="宋体" w:hAnsi="宋体" w:cs="宋体"/>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theme" Target="theme/theme1.xml" /><Relationship Id="rId19" Type="http://schemas.openxmlformats.org/officeDocument/2006/relationships/numbering" Target="numbering.xml" /><Relationship Id="rId2" Type="http://schemas.openxmlformats.org/officeDocument/2006/relationships/webSettings" Target="webSettings.xml" /><Relationship Id="rId20"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2022-10-24T06:37:59Z</dcterms:created>
  <dcterms:modified xsi:type="dcterms:W3CDTF">2022-10-24T06:37:59Z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2022-09-19T00:00:00Z</vt:filetime>
  </property>
  <property fmtid="{D5CDD505-2E9C-101B-9397-08002B2CF9AE}" pid="3" name="LastSaved">
    <vt:filetime>2022-10-24T00:00:00Z</vt:filetime>
  </property>
</Properties>
</file>