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C36A7B">
      <w:pPr>
        <w:pStyle w:val="145"/>
        <w:rPr>
          <w:lang w:eastAsia="zh-CN"/>
        </w:rPr>
      </w:pPr>
      <w:bookmarkStart w:id="0" w:name="_Toc438987549"/>
      <w:bookmarkStart w:id="1" w:name="_Toc453597319"/>
      <w:bookmarkStart w:id="2" w:name="_Toc481801204"/>
      <w:bookmarkStart w:id="3" w:name="OLE_LINK15"/>
      <w:bookmarkStart w:id="4" w:name="OLE_LINK39"/>
      <w:bookmarkStart w:id="5" w:name="_Toc517262917"/>
      <w:bookmarkStart w:id="6" w:name="OLE_LINK13"/>
      <w:bookmarkStart w:id="7" w:name="_Toc415143481"/>
      <w:bookmarkStart w:id="8" w:name="OLE_LINK24"/>
      <w:bookmarkStart w:id="9" w:name="OLE_LINK40"/>
      <w:bookmarkStart w:id="10" w:name="_Toc418070112"/>
      <w:bookmarkStart w:id="11" w:name="_Toc415142861"/>
      <w:bookmarkStart w:id="12" w:name="_Toc415818939"/>
      <w:r>
        <w:rPr>
          <w:rFonts w:hint="eastAsia"/>
          <w:lang w:eastAsia="zh-CN"/>
        </w:rPr>
        <w:t>半导体用铜前驱体是半导体薄膜沉积工艺中重要的原材料，在半导体制造中发挥关键作用。半导体用铜前驱体是指包含铜元素，具有良好挥发性，能够在高温下分解释放出铜原子，进而在晶圆上沉积形成铜薄膜的一类物质。其可以是有机铜化合物，如</w:t>
      </w:r>
      <w:r>
        <w:rPr>
          <w:lang w:eastAsia="zh-CN"/>
        </w:rPr>
        <w:t xml:space="preserve"> Cu (hfac)(TMVS)</w:t>
      </w:r>
      <w:r>
        <w:rPr>
          <w:rFonts w:hint="eastAsia"/>
          <w:lang w:eastAsia="zh-CN"/>
        </w:rPr>
        <w:t>、</w:t>
      </w:r>
      <w:r>
        <w:rPr>
          <w:lang w:eastAsia="zh-CN"/>
        </w:rPr>
        <w:t xml:space="preserve">Cu (hfac)(DMB) </w:t>
      </w:r>
      <w:r>
        <w:rPr>
          <w:rFonts w:hint="eastAsia"/>
          <w:lang w:eastAsia="zh-CN"/>
        </w:rPr>
        <w:t>等，也可以是无机铜盐，如氯化铜（</w:t>
      </w:r>
      <w:r>
        <w:rPr>
          <w:lang w:eastAsia="zh-CN"/>
        </w:rPr>
        <w:t>CuCl</w:t>
      </w:r>
      <w:r>
        <w:rPr>
          <w:rFonts w:hint="eastAsia"/>
          <w:lang w:eastAsia="zh-CN"/>
        </w:rPr>
        <w:t>、</w:t>
      </w:r>
      <w:r>
        <w:rPr>
          <w:lang w:eastAsia="zh-CN"/>
        </w:rPr>
        <w:t>CuCl</w:t>
      </w:r>
      <w:r>
        <w:rPr>
          <w:rFonts w:ascii="Cambria Math" w:hAnsi="Cambria Math" w:cs="Cambria Math"/>
          <w:lang w:eastAsia="zh-CN"/>
        </w:rPr>
        <w:t>₂</w:t>
      </w:r>
      <w:r>
        <w:rPr>
          <w:rFonts w:hint="eastAsia"/>
          <w:lang w:eastAsia="zh-CN"/>
        </w:rPr>
        <w:t>）等。</w:t>
      </w:r>
    </w:p>
    <w:p w14:paraId="2BC4A487">
      <w:pPr>
        <w:pStyle w:val="145"/>
        <w:rPr>
          <w:lang w:eastAsia="zh-CN"/>
        </w:rPr>
      </w:pPr>
      <w:r>
        <w:rPr>
          <w:rFonts w:hint="eastAsia"/>
          <w:lang w:eastAsia="zh-CN"/>
        </w:rPr>
        <w:t>据QYResearch调研团队最新报告“全球半导体用铜前驱体市场报告2025-2031”显示，预计2031年全球半导体用铜前驱体市场规模将达到0.4亿美元，未来几年年复合增长率CAGR为37.6%。</w:t>
      </w:r>
    </w:p>
    <w:p w14:paraId="435E3011">
      <w:pPr>
        <w:pStyle w:val="145"/>
        <w:rPr>
          <w:lang w:eastAsia="zh-CN"/>
        </w:rPr>
      </w:pPr>
    </w:p>
    <w:p w14:paraId="3F6C2722">
      <w:pPr>
        <w:pStyle w:val="148"/>
        <w:rPr>
          <w:lang w:eastAsia="zh-CN"/>
        </w:rPr>
      </w:pPr>
      <w:r>
        <w:rPr>
          <w:lang w:eastAsia="zh-CN"/>
        </w:rPr>
        <w:t>半导体用铜前驱体</w:t>
      </w:r>
      <w:r>
        <w:rPr>
          <w:rFonts w:hint="eastAsia"/>
          <w:lang w:eastAsia="zh-CN"/>
        </w:rPr>
        <w:t>，全球市场总体规模</w:t>
      </w:r>
    </w:p>
    <w:p w14:paraId="33261207">
      <w:pPr>
        <w:pStyle w:val="145"/>
      </w:pPr>
      <w:r>
        <w:rPr>
          <w:sz w:val="21"/>
        </w:rPr>
        <mc:AlternateContent>
          <mc:Choice Requires="wps">
            <w:drawing>
              <wp:anchor distT="0" distB="0" distL="114300" distR="114300" simplePos="0" relativeHeight="251660288" behindDoc="0" locked="0" layoutInCell="1" allowOverlap="1">
                <wp:simplePos x="0" y="0"/>
                <wp:positionH relativeFrom="column">
                  <wp:posOffset>3888105</wp:posOffset>
                </wp:positionH>
                <wp:positionV relativeFrom="paragraph">
                  <wp:posOffset>977265</wp:posOffset>
                </wp:positionV>
                <wp:extent cx="914400" cy="9144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914400" cy="9144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4BDC8ED">
                            <w:pPr>
                              <w:rPr>
                                <w:rFonts w:hint="default" w:eastAsia="宋体"/>
                                <w:lang w:val="en-US" w:eastAsia="zh-CN"/>
                              </w:rPr>
                            </w:pPr>
                            <w:r>
                              <w:rPr>
                                <w:rFonts w:hint="eastAsia"/>
                                <w:lang w:val="en-US" w:eastAsia="zh-CN"/>
                              </w:rPr>
                              <w:t>37.6%</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6.15pt;margin-top:76.95pt;height:72pt;width:72pt;z-index:251660288;mso-width-relative:page;mso-height-relative:page;" filled="f" stroked="f" coordsize="21600,21600" o:gfxdata="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BVnd+f3AAAAAsBAAAPAAAAAAAAAAEAIAAAACIAAABkcnMvZG93&#10;bnJldi54bWxQSwECFAAUAAAACACHTuJAND/TkjUCAABlBAAADgAAAAAAAAABACAAAAArAQAAZHJz&#10;L2Uyb0RvYy54bWxQSwUGAAAAAAYABgBZAQAA0gUAAAAA&#10;">
                <v:fill on="f" focussize="0,0"/>
                <v:stroke on="f" weight="0.5pt"/>
                <v:imagedata o:title=""/>
                <o:lock v:ext="edit" aspectratio="f"/>
                <v:textbox>
                  <w:txbxContent>
                    <w:p w14:paraId="34BDC8ED">
                      <w:pPr>
                        <w:rPr>
                          <w:rFonts w:hint="default" w:eastAsia="宋体"/>
                          <w:lang w:val="en-US" w:eastAsia="zh-CN"/>
                        </w:rPr>
                      </w:pPr>
                      <w:r>
                        <w:rPr>
                          <w:rFonts w:hint="eastAsia"/>
                          <w:lang w:val="en-US" w:eastAsia="zh-CN"/>
                        </w:rPr>
                        <w:t>37.6%</w:t>
                      </w:r>
                    </w:p>
                  </w:txbxContent>
                </v:textbox>
              </v:shape>
            </w:pict>
          </mc:Fallback>
        </mc:AlternateContent>
      </w:r>
      <w:r>
        <w:rPr>
          <w:sz w:val="21"/>
        </w:rPr>
        <mc:AlternateContent>
          <mc:Choice Requires="wps">
            <w:drawing>
              <wp:anchor distT="0" distB="0" distL="114300" distR="114300" simplePos="0" relativeHeight="251659264" behindDoc="0" locked="0" layoutInCell="1" allowOverlap="1">
                <wp:simplePos x="0" y="0"/>
                <wp:positionH relativeFrom="column">
                  <wp:posOffset>1778635</wp:posOffset>
                </wp:positionH>
                <wp:positionV relativeFrom="paragraph">
                  <wp:posOffset>1543685</wp:posOffset>
                </wp:positionV>
                <wp:extent cx="914400" cy="914400"/>
                <wp:effectExtent l="0" t="0" r="0" b="0"/>
                <wp:wrapNone/>
                <wp:docPr id="7" name="文本框 7"/>
                <wp:cNvGraphicFramePr/>
                <a:graphic xmlns:a="http://schemas.openxmlformats.org/drawingml/2006/main">
                  <a:graphicData uri="http://schemas.microsoft.com/office/word/2010/wordprocessingShape">
                    <wps:wsp>
                      <wps:cNvSpPr txBox="1"/>
                      <wps:spPr>
                        <a:xfrm>
                          <a:off x="2698115" y="5509260"/>
                          <a:ext cx="914400" cy="9144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CEFD84E">
                            <w:pPr>
                              <w:rPr>
                                <w:rFonts w:hint="default" w:eastAsia="宋体"/>
                                <w:lang w:val="en-US" w:eastAsia="zh-CN"/>
                              </w:rPr>
                            </w:pPr>
                            <w:r>
                              <w:rPr>
                                <w:rFonts w:hint="eastAsia"/>
                                <w:lang w:val="en-US" w:eastAsia="zh-CN"/>
                              </w:rPr>
                              <w:t>19.4%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0.05pt;margin-top:121.55pt;height:72pt;width:72pt;z-index:251659264;mso-width-relative:page;mso-height-relative:page;" filled="f" stroked="f" coordsize="21600,21600" o:gfxdata="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D2sqyz2gAAAAsBAAAPAAAAAAAAAAEAIAAA&#10;ACIAAABkcnMvZG93bnJldi54bWxQSwECFAAUAAAACACHTuJASyNLuEMCAABxBAAADgAAAAAAAAAB&#10;ACAAAAApAQAAZHJzL2Uyb0RvYy54bWxQSwUGAAAAAAYABgBZAQAA3gUAAAAA&#10;">
                <v:fill on="f" focussize="0,0"/>
                <v:stroke on="f" weight="0.5pt"/>
                <v:imagedata o:title=""/>
                <o:lock v:ext="edit" aspectratio="f"/>
                <v:textbox>
                  <w:txbxContent>
                    <w:p w14:paraId="2CEFD84E">
                      <w:pPr>
                        <w:rPr>
                          <w:rFonts w:hint="default" w:eastAsia="宋体"/>
                          <w:lang w:val="en-US" w:eastAsia="zh-CN"/>
                        </w:rPr>
                      </w:pPr>
                      <w:r>
                        <w:rPr>
                          <w:rFonts w:hint="eastAsia"/>
                          <w:lang w:val="en-US" w:eastAsia="zh-CN"/>
                        </w:rPr>
                        <w:t>19.4%</w:t>
                      </w:r>
                    </w:p>
                  </w:txbxContent>
                </v:textbox>
              </v:shape>
            </w:pict>
          </mc:Fallback>
        </mc:AlternateContent>
      </w:r>
      <w:r>
        <w:rPr>
          <w:lang w:val="en-US" w:eastAsia="zh-CN"/>
        </w:rPr>
        <w:drawing>
          <wp:inline distT="0" distB="0" distL="0" distR="0">
            <wp:extent cx="6188710" cy="2954655"/>
            <wp:effectExtent l="0" t="0" r="2540"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548964BA">
      <w:pPr>
        <w:pStyle w:val="143"/>
        <w:rPr>
          <w:lang w:eastAsia="zh-CN"/>
        </w:rPr>
      </w:pPr>
      <w:r>
        <w:rPr>
          <w:rFonts w:hint="eastAsia"/>
          <w:lang w:eastAsia="zh-CN"/>
        </w:rPr>
        <w:t>来源：QYResearch 电子级半导体研究中心</w:t>
      </w:r>
    </w:p>
    <w:p w14:paraId="12FD9BEF">
      <w:pPr>
        <w:pStyle w:val="145"/>
        <w:rPr>
          <w:lang w:eastAsia="zh-CN"/>
        </w:rPr>
      </w:pPr>
    </w:p>
    <w:p w14:paraId="720E31E2">
      <w:pPr>
        <w:pStyle w:val="148"/>
        <w:rPr>
          <w:lang w:eastAsia="zh-CN"/>
        </w:rPr>
      </w:pPr>
      <w:r>
        <w:rPr>
          <w:rFonts w:hint="eastAsia"/>
          <w:lang w:eastAsia="zh-CN"/>
        </w:rPr>
        <w:t>全球</w:t>
      </w:r>
      <w:r>
        <w:rPr>
          <w:lang w:eastAsia="zh-CN"/>
        </w:rPr>
        <w:t>半导体用铜前驱体</w:t>
      </w:r>
      <w:r>
        <w:rPr>
          <w:rFonts w:hint="eastAsia"/>
          <w:lang w:eastAsia="zh-CN"/>
        </w:rPr>
        <w:t>市场前5强生产商排名及市场占有率（基于2024年调研数据；目前最新数据以本公司最新调研数据为准）</w:t>
      </w:r>
    </w:p>
    <w:p w14:paraId="773AFA33">
      <w:pPr>
        <w:widowControl/>
        <w:topLinePunct w:val="0"/>
        <w:spacing w:after="0"/>
        <w:jc w:val="center"/>
        <w:rPr>
          <w:rFonts w:ascii="宋体" w:hAnsi="宋体" w:cs="宋体"/>
          <w:kern w:val="0"/>
          <w:sz w:val="24"/>
          <w:szCs w:val="24"/>
        </w:rPr>
      </w:pPr>
      <w:r>
        <w:drawing>
          <wp:inline distT="0" distB="0" distL="0" distR="0">
            <wp:extent cx="4992370" cy="3834765"/>
            <wp:effectExtent l="0" t="0" r="17780" b="13335"/>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04A43543">
      <w:pPr>
        <w:pStyle w:val="143"/>
        <w:rPr>
          <w:lang w:eastAsia="zh-CN"/>
        </w:rPr>
      </w:pPr>
      <w:r>
        <w:rPr>
          <w:rFonts w:hint="eastAsia"/>
          <w:lang w:eastAsia="zh-CN"/>
        </w:rPr>
        <w:t>来源：QYResearch 电子级半导体研究中心。行业处于不断变动之中，最新数据请联系QYResearch咨询。</w:t>
      </w:r>
    </w:p>
    <w:p w14:paraId="6E466FB3">
      <w:pPr>
        <w:pStyle w:val="145"/>
        <w:rPr>
          <w:lang w:eastAsia="zh-CN"/>
        </w:rPr>
      </w:pPr>
      <w:r>
        <w:rPr>
          <w:rFonts w:hint="eastAsia"/>
          <w:lang w:eastAsia="zh-CN"/>
        </w:rPr>
        <w:t>根据QYResearch头部企业研究中心调研，全球范围内半导体用铜前驱体生产商主要包括默克集团、American Elements、Strem Chemicals、Gelest、Ereztech等。2024年，全球前四大厂商占有大约88.0%的市场份额。</w:t>
      </w:r>
    </w:p>
    <w:p w14:paraId="3B2E5865">
      <w:pPr>
        <w:pStyle w:val="145"/>
        <w:rPr>
          <w:lang w:eastAsia="zh-CN"/>
        </w:rPr>
      </w:pPr>
    </w:p>
    <w:p w14:paraId="3E6DE9A8">
      <w:pPr>
        <w:pStyle w:val="148"/>
        <w:rPr>
          <w:lang w:eastAsia="zh-CN"/>
        </w:rPr>
      </w:pPr>
      <w:r>
        <w:rPr>
          <w:lang w:eastAsia="zh-CN"/>
        </w:rPr>
        <w:t>半导体用铜前驱体</w:t>
      </w:r>
      <w:r>
        <w:rPr>
          <w:rFonts w:hint="eastAsia"/>
          <w:lang w:eastAsia="zh-CN"/>
        </w:rPr>
        <w:t>，全球市场规模，按产品类型细分，铜(II)前驱体处于主导地位</w:t>
      </w:r>
    </w:p>
    <w:p w14:paraId="19A9AF05">
      <w:pPr>
        <w:pStyle w:val="145"/>
        <w:rPr>
          <w:lang w:eastAsia="zh-CN"/>
        </w:rPr>
      </w:pPr>
      <w:r>
        <w:rPr>
          <w:lang w:val="en-US" w:eastAsia="zh-CN"/>
        </w:rPr>
        <w:drawing>
          <wp:inline distT="0" distB="0" distL="0" distR="0">
            <wp:extent cx="6188710" cy="2922270"/>
            <wp:effectExtent l="0" t="0" r="2540" b="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39AE0722">
      <w:pPr>
        <w:pStyle w:val="143"/>
        <w:rPr>
          <w:lang w:eastAsia="zh-CN"/>
        </w:rPr>
      </w:pPr>
      <w:r>
        <w:rPr>
          <w:rFonts w:hint="eastAsia"/>
          <w:lang w:eastAsia="zh-CN"/>
        </w:rPr>
        <w:t>来源：QYResearch 电子级半导体研究中心</w:t>
      </w:r>
    </w:p>
    <w:p w14:paraId="0C15F77A">
      <w:pPr>
        <w:pStyle w:val="145"/>
        <w:rPr>
          <w:lang w:eastAsia="zh-CN"/>
        </w:rPr>
      </w:pPr>
      <w:r>
        <w:rPr>
          <w:rFonts w:hint="eastAsia"/>
          <w:lang w:eastAsia="zh-CN"/>
        </w:rPr>
        <w:t>就产品类型而言，目前铜(II)前驱体是最主要的细分产品，占据大约</w:t>
      </w:r>
      <w:r>
        <w:rPr>
          <w:lang w:eastAsia="zh-CN"/>
        </w:rPr>
        <w:t>78</w:t>
      </w:r>
      <w:r>
        <w:rPr>
          <w:rFonts w:hint="eastAsia"/>
          <w:lang w:eastAsia="zh-CN"/>
        </w:rPr>
        <w:t>.0%的份额。</w:t>
      </w:r>
    </w:p>
    <w:p w14:paraId="41C3AE68">
      <w:pPr>
        <w:pStyle w:val="145"/>
        <w:rPr>
          <w:lang w:eastAsia="zh-CN"/>
        </w:rPr>
      </w:pPr>
    </w:p>
    <w:p w14:paraId="0B069045">
      <w:pPr>
        <w:pStyle w:val="148"/>
        <w:rPr>
          <w:lang w:eastAsia="zh-CN"/>
        </w:rPr>
      </w:pPr>
      <w:r>
        <w:rPr>
          <w:lang w:eastAsia="zh-CN"/>
        </w:rPr>
        <w:t>半导体用铜前驱体</w:t>
      </w:r>
      <w:r>
        <w:rPr>
          <w:rFonts w:hint="eastAsia"/>
          <w:lang w:eastAsia="zh-CN"/>
        </w:rPr>
        <w:t>，全球市场规模，按应用细分，逻辑芯片是最大的下游市场，占有40.4%份额。</w:t>
      </w:r>
    </w:p>
    <w:p w14:paraId="1F9213C6">
      <w:pPr>
        <w:widowControl/>
        <w:topLinePunct w:val="0"/>
        <w:spacing w:after="0"/>
        <w:jc w:val="left"/>
        <w:rPr>
          <w:rFonts w:ascii="宋体" w:hAnsi="宋体" w:cs="宋体"/>
          <w:kern w:val="0"/>
          <w:sz w:val="24"/>
          <w:szCs w:val="24"/>
        </w:rPr>
      </w:pPr>
      <w:r>
        <w:drawing>
          <wp:inline distT="0" distB="0" distL="0" distR="0">
            <wp:extent cx="6188710" cy="2922270"/>
            <wp:effectExtent l="0" t="0" r="2540" b="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1753BDFC">
      <w:pPr>
        <w:pStyle w:val="143"/>
        <w:rPr>
          <w:lang w:eastAsia="zh-CN"/>
        </w:rPr>
      </w:pPr>
      <w:r>
        <w:rPr>
          <w:rFonts w:hint="eastAsia"/>
          <w:lang w:eastAsia="zh-CN"/>
        </w:rPr>
        <w:t>来源：QYResearch 电子级半导体研究中心</w:t>
      </w:r>
    </w:p>
    <w:p w14:paraId="08CA65EC">
      <w:pPr>
        <w:pStyle w:val="143"/>
        <w:rPr>
          <w:lang w:eastAsia="zh-CN"/>
        </w:rPr>
      </w:pPr>
    </w:p>
    <w:p w14:paraId="57B4BA57">
      <w:pPr>
        <w:pStyle w:val="145"/>
        <w:rPr>
          <w:lang w:eastAsia="zh-CN"/>
        </w:rPr>
      </w:pPr>
      <w:r>
        <w:rPr>
          <w:rFonts w:hint="eastAsia"/>
          <w:lang w:eastAsia="zh-CN"/>
        </w:rPr>
        <w:t>就产品应用而言，目前逻辑芯片是最主要的需求来源，占据大约40.4%的份额。</w:t>
      </w:r>
    </w:p>
    <w:p w14:paraId="4B5D90DE">
      <w:pPr>
        <w:pStyle w:val="145"/>
        <w:rPr>
          <w:lang w:eastAsia="zh-CN"/>
        </w:rPr>
      </w:pPr>
    </w:p>
    <w:p w14:paraId="5F8B78C0">
      <w:pPr>
        <w:pStyle w:val="148"/>
        <w:rPr>
          <w:lang w:eastAsia="zh-CN"/>
        </w:rPr>
      </w:pPr>
      <w:r>
        <w:rPr>
          <w:rFonts w:hint="eastAsia"/>
          <w:lang w:eastAsia="zh-CN"/>
        </w:rPr>
        <w:t>全球</w:t>
      </w:r>
      <w:r>
        <w:rPr>
          <w:lang w:eastAsia="zh-CN"/>
        </w:rPr>
        <w:t>半导体用铜前驱体</w:t>
      </w:r>
      <w:r>
        <w:rPr>
          <w:rFonts w:hint="eastAsia"/>
          <w:lang w:eastAsia="zh-CN"/>
        </w:rPr>
        <w:t>规模，主要销售地区份额（按销售额）</w:t>
      </w:r>
    </w:p>
    <w:p w14:paraId="04A4515E">
      <w:pPr>
        <w:pStyle w:val="145"/>
        <w:rPr>
          <w:lang w:val="en-US" w:eastAsia="zh-CN"/>
        </w:rPr>
      </w:pPr>
      <w:r>
        <w:rPr>
          <w:lang w:val="en-US" w:eastAsia="zh-CN"/>
        </w:rPr>
        <w:drawing>
          <wp:inline distT="0" distB="0" distL="0" distR="0">
            <wp:extent cx="6188710" cy="2922270"/>
            <wp:effectExtent l="0" t="0" r="2540" b="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02059567">
      <w:pPr>
        <w:pStyle w:val="143"/>
        <w:rPr>
          <w:lang w:eastAsia="zh-CN"/>
        </w:rPr>
      </w:pPr>
      <w:r>
        <w:rPr>
          <w:rFonts w:hint="eastAsia"/>
          <w:lang w:eastAsia="zh-CN"/>
        </w:rPr>
        <w:t>来源：QYResearch 电子级半导体研究中心</w:t>
      </w:r>
    </w:p>
    <w:p w14:paraId="5315F7D2">
      <w:pPr>
        <w:pStyle w:val="143"/>
      </w:pPr>
    </w:p>
    <w:p w14:paraId="0CD10F4E">
      <w:pPr>
        <w:pStyle w:val="148"/>
        <w:rPr>
          <w:lang w:eastAsia="zh-CN"/>
        </w:rPr>
      </w:pPr>
      <w:r>
        <w:rPr>
          <w:rFonts w:hint="eastAsia"/>
          <w:lang w:eastAsia="zh-CN"/>
        </w:rPr>
        <w:t>全球主要市场</w:t>
      </w:r>
      <w:r>
        <w:rPr>
          <w:lang w:eastAsia="zh-CN"/>
        </w:rPr>
        <w:t>半导体用铜前驱体</w:t>
      </w:r>
      <w:r>
        <w:rPr>
          <w:rFonts w:hint="eastAsia"/>
          <w:lang w:eastAsia="zh-CN"/>
        </w:rPr>
        <w:t>规模</w:t>
      </w:r>
    </w:p>
    <w:p w14:paraId="4B44D8E9">
      <w:pPr>
        <w:pStyle w:val="145"/>
        <w:rPr>
          <w:lang w:val="en-US" w:eastAsia="zh-CN"/>
        </w:rPr>
      </w:pPr>
      <w:r>
        <w:rPr>
          <w:lang w:val="en-US" w:eastAsia="zh-CN"/>
        </w:rPr>
        <w:drawing>
          <wp:inline distT="0" distB="0" distL="0" distR="0">
            <wp:extent cx="6188710" cy="2922270"/>
            <wp:effectExtent l="0" t="0" r="2540" b="0"/>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43FD29A5">
      <w:pPr>
        <w:pStyle w:val="143"/>
        <w:rPr>
          <w:lang w:eastAsia="zh-CN"/>
        </w:rPr>
      </w:pPr>
      <w:r>
        <w:rPr>
          <w:rFonts w:hint="eastAsia"/>
          <w:lang w:eastAsia="zh-CN"/>
        </w:rPr>
        <w:t>来源：QYResearch 电子级半导体研究中心</w:t>
      </w:r>
    </w:p>
    <w:p w14:paraId="4A87E689">
      <w:pPr>
        <w:pStyle w:val="145"/>
        <w:rPr>
          <w:lang w:eastAsia="zh-CN"/>
        </w:rPr>
      </w:pPr>
      <w:r>
        <w:rPr>
          <w:rFonts w:hint="eastAsia"/>
          <w:lang w:eastAsia="zh-CN"/>
        </w:rPr>
        <w:t>市场驱动因素：</w:t>
      </w:r>
    </w:p>
    <w:p w14:paraId="5AA3FD18">
      <w:pPr>
        <w:pStyle w:val="145"/>
        <w:rPr>
          <w:lang w:eastAsia="zh-CN"/>
        </w:rPr>
      </w:pPr>
      <w:r>
        <w:rPr>
          <w:rFonts w:hint="eastAsia"/>
          <w:lang w:eastAsia="zh-CN"/>
        </w:rPr>
        <w:t>芯片制造工艺升级：随着芯片制程技术不断向更小节点发展，如从 28nm 向更小尺寸演进，低电阻率铜结合低介电常数绝缘材料的集成方案逐渐取代铝作为互连材料，以改善互连线性能，降低延迟，这使得铜前驱体的需求增加。同时，FinFET 技术等先进工艺对外延和原子层沉积（ALD）需求明显增加，推动了更多与外延工艺相关的铜前驱体的应用。</w:t>
      </w:r>
    </w:p>
    <w:p w14:paraId="60316E10">
      <w:pPr>
        <w:pStyle w:val="145"/>
        <w:rPr>
          <w:lang w:eastAsia="zh-CN"/>
        </w:rPr>
      </w:pPr>
      <w:r>
        <w:rPr>
          <w:rFonts w:hint="eastAsia"/>
          <w:lang w:eastAsia="zh-CN"/>
        </w:rPr>
        <w:t>存储芯片发展：存储芯片市场不断扩张，DRAM 通过微缩技术节点提高存储密度，3D NAND 堆叠层数也逐渐增加。这不仅需要更多的薄膜沉积工艺步骤，还要求使用更高性能的材料来降低高深宽比刻蚀产生的缺陷，从而带动了铜前驱体用量的大幅增长。</w:t>
      </w:r>
    </w:p>
    <w:p w14:paraId="63584EAD">
      <w:pPr>
        <w:pStyle w:val="145"/>
        <w:rPr>
          <w:lang w:eastAsia="zh-CN"/>
        </w:rPr>
      </w:pPr>
      <w:r>
        <w:rPr>
          <w:rFonts w:hint="eastAsia"/>
          <w:lang w:eastAsia="zh-CN"/>
        </w:rPr>
        <w:t>全球晶圆产能扩张：各国为了满足芯片市场需求，纷纷扩大晶圆产能。国内晶圆代工企业接连宣布投资建造或规划建设新产线，全球范围内晶圆厂的扩张使得对半导体制造材料，包括铜前驱体的需求持续上升。</w:t>
      </w:r>
    </w:p>
    <w:p w14:paraId="4DCF2E25">
      <w:pPr>
        <w:pStyle w:val="145"/>
        <w:rPr>
          <w:lang w:eastAsia="zh-CN"/>
        </w:rPr>
      </w:pPr>
      <w:r>
        <w:rPr>
          <w:rFonts w:hint="eastAsia"/>
          <w:lang w:eastAsia="zh-CN"/>
        </w:rPr>
        <w:t>AI 技术发展：2024 年以来，全球 AI 浪潮推动存储需求爆发，相关的服务器芯片等对高性能、高可靠性的铜互连薄膜需求大增，因为铜前驱体有助于形成高质量的铜互连结构，保障芯片的性能，所以 AI 技术的发展间接促进了铜前驱体市场的增长。</w:t>
      </w:r>
    </w:p>
    <w:p w14:paraId="202A1F7B">
      <w:pPr>
        <w:pStyle w:val="145"/>
        <w:rPr>
          <w:lang w:eastAsia="zh-CN"/>
        </w:rPr>
      </w:pPr>
      <w:r>
        <w:rPr>
          <w:rFonts w:hint="eastAsia"/>
          <w:lang w:eastAsia="zh-CN"/>
        </w:rPr>
        <w:t>市场挑战：</w:t>
      </w:r>
    </w:p>
    <w:p w14:paraId="0B066397">
      <w:pPr>
        <w:pStyle w:val="145"/>
        <w:rPr>
          <w:lang w:eastAsia="zh-CN"/>
        </w:rPr>
      </w:pPr>
      <w:r>
        <w:rPr>
          <w:rFonts w:hint="eastAsia"/>
          <w:lang w:eastAsia="zh-CN"/>
        </w:rPr>
        <w:t>技术壁垒高：半导体用铜前驱体需要具备高纯度，以确保沉积的铜薄膜质量符合要求，其制备过程需要精确控制材料合成、提纯等工艺参数，对生产设备和技术人员要求极高，开发难度大，新进入企业难以在短期内掌握核心技术。</w:t>
      </w:r>
    </w:p>
    <w:p w14:paraId="0F274A49">
      <w:pPr>
        <w:pStyle w:val="145"/>
        <w:rPr>
          <w:lang w:eastAsia="zh-CN"/>
        </w:rPr>
      </w:pPr>
      <w:r>
        <w:rPr>
          <w:rFonts w:hint="eastAsia"/>
          <w:lang w:eastAsia="zh-CN"/>
        </w:rPr>
        <w:t>市场竞争激烈：半导体前驱体市场高度集中，德国默克、法国液化空气等少数几家国际巨头占据了大部分市场份额，新进入者面临着强大的竞争压力，需要花费大量时间和资源来开拓市场、建立客户关系。</w:t>
      </w:r>
    </w:p>
    <w:p w14:paraId="71598F5C">
      <w:pPr>
        <w:pStyle w:val="145"/>
        <w:rPr>
          <w:lang w:eastAsia="zh-CN"/>
        </w:rPr>
      </w:pPr>
      <w:r>
        <w:rPr>
          <w:rFonts w:hint="eastAsia"/>
          <w:lang w:eastAsia="zh-CN"/>
        </w:rPr>
        <w:t>成本控制困难：铜前驱体的生产需要使用一些昂贵的原材料和先进设备，且对生产环境要求严格，生产成本较高。同时，市场价格受到原材料价格波动、市场竞争等因素影响，企业难以精确控制成本，保持利润空间。</w:t>
      </w:r>
    </w:p>
    <w:p w14:paraId="07A95001">
      <w:pPr>
        <w:pStyle w:val="145"/>
        <w:rPr>
          <w:rFonts w:hint="eastAsia"/>
          <w:lang w:eastAsia="zh-CN"/>
        </w:rPr>
      </w:pPr>
      <w:r>
        <w:rPr>
          <w:rFonts w:hint="eastAsia"/>
          <w:lang w:eastAsia="zh-CN"/>
        </w:rPr>
        <w:t>环保要求严格：铜前驱体生产过程中可能会产生一些有害物质，随着全球环保意识的提高和环保政策的日益严格，企业需要投入更多资金用于环保设施建设和废弃物处理，增加了企业的运营成本和管理难度。</w:t>
      </w:r>
      <w:bookmarkEnd w:id="0"/>
      <w:bookmarkEnd w:id="1"/>
      <w:bookmarkEnd w:id="2"/>
      <w:bookmarkEnd w:id="3"/>
      <w:bookmarkEnd w:id="4"/>
      <w:bookmarkEnd w:id="5"/>
      <w:bookmarkEnd w:id="6"/>
      <w:bookmarkEnd w:id="7"/>
      <w:bookmarkEnd w:id="8"/>
      <w:bookmarkEnd w:id="9"/>
      <w:bookmarkEnd w:id="10"/>
      <w:bookmarkEnd w:id="11"/>
      <w:bookmarkEnd w:id="12"/>
    </w:p>
    <w:p w14:paraId="2B052456">
      <w:pPr>
        <w:pStyle w:val="145"/>
        <w:rPr>
          <w:rFonts w:hint="eastAsia"/>
          <w:lang w:eastAsia="zh-CN"/>
        </w:rPr>
      </w:pPr>
      <w:r>
        <w:rPr>
          <w:rFonts w:hint="eastAsia"/>
          <w:lang w:eastAsia="zh-CN"/>
        </w:rPr>
        <w:t>在市场调查报告方面，QYResearch研究团队深入挖掘市场数据，通过科学的方法和严谨的分析，为客户提供准确、全面的市场现状和趋势信息，帮助企业了解目标市场的规模、增长潜力、竞争格局等关键要素。市场研究报告则更加注重对特定行业或细分市场的深度剖析，从宏观经济环境、政策法规、技术创新等多个维度进行综合分析，为企业制定发展战略提供有力支持。</w:t>
      </w:r>
      <w:bookmarkStart w:id="13" w:name="_GoBack"/>
      <w:bookmarkEnd w:id="13"/>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panose1 w:val="020B0502020202020204"/>
    <w:charset w:val="00"/>
    <w:family w:val="swiss"/>
    <w:pitch w:val="default"/>
    <w:sig w:usb0="00000287" w:usb1="00000000" w:usb2="00000000" w:usb3="00000000" w:csb0="2000009F" w:csb1="DFD70000"/>
  </w:font>
  <w:font w:name="Cambria Math">
    <w:panose1 w:val="02040503050406030204"/>
    <w:charset w:val="00"/>
    <w:family w:val="roman"/>
    <w:pitch w:val="default"/>
    <w:sig w:usb0="E00006FF" w:usb1="420024FF" w:usb2="02000000" w:usb3="00000000" w:csb0="2000019F" w:csb1="0000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E0980">
    <w:pPr>
      <w:pStyle w:val="21"/>
      <w:jc w:val="center"/>
    </w:pPr>
    <w:r>
      <w:t>Copyright © QYResearch | market@qyresearch.com | 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BBC53">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3360"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4384"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4384;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14:paraId="02A48211">
    <w:pPr>
      <w:pStyle w:val="22"/>
      <w:pBdr>
        <w:bottom w:val="none" w:color="auto" w:sz="0" w:space="0"/>
      </w:pBdr>
      <w:jc w:val="both"/>
    </w:pPr>
  </w:p>
  <w:p w14:paraId="7C1E6558">
    <w:pPr>
      <w:pStyle w:val="22"/>
      <w:pBdr>
        <w:bottom w:val="none" w:color="auto" w:sz="0" w:space="0"/>
      </w:pBdr>
      <w:jc w:val="both"/>
    </w:pPr>
  </w:p>
  <w:p w14:paraId="3522D064">
    <w:pPr>
      <w:pStyle w:val="22"/>
      <w:pBdr>
        <w:bottom w:val="none" w:color="auto" w:sz="0" w:space="0"/>
      </w:pBdr>
      <w:jc w:val="both"/>
    </w:pPr>
  </w:p>
  <w:p w14:paraId="0E6B6DFD">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4144;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5168;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19"/>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229"/>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9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821"/>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30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3A"/>
    <w:rsid w:val="000C58CD"/>
    <w:rsid w:val="000C58F0"/>
    <w:rsid w:val="000C5EA0"/>
    <w:rsid w:val="000C60EB"/>
    <w:rsid w:val="000C62E9"/>
    <w:rsid w:val="000C6464"/>
    <w:rsid w:val="000C67EE"/>
    <w:rsid w:val="000C6FE4"/>
    <w:rsid w:val="000C7B81"/>
    <w:rsid w:val="000C7D72"/>
    <w:rsid w:val="000C7F08"/>
    <w:rsid w:val="000C7FD2"/>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B6"/>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DCE"/>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5F"/>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87A"/>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EE8"/>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6E8"/>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439"/>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736"/>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6BF"/>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10A"/>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4FD"/>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B7E"/>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670"/>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17"/>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A88"/>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9A1"/>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6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2C19"/>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BBD"/>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65F"/>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35F"/>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A3A"/>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84F"/>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839"/>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155"/>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5B9"/>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4F40"/>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810"/>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2E4F"/>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7BB"/>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2EE"/>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490"/>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22"/>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20F"/>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AD7"/>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75"/>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066"/>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30E"/>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19"/>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899"/>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A86"/>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634"/>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64C"/>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49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CF0"/>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5F58"/>
    <w:rsid w:val="00CA6016"/>
    <w:rsid w:val="00CA6097"/>
    <w:rsid w:val="00CA624B"/>
    <w:rsid w:val="00CA698E"/>
    <w:rsid w:val="00CA6D79"/>
    <w:rsid w:val="00CA6DDC"/>
    <w:rsid w:val="00CA6DEA"/>
    <w:rsid w:val="00CA6EF5"/>
    <w:rsid w:val="00CA700F"/>
    <w:rsid w:val="00CA70AA"/>
    <w:rsid w:val="00CA748A"/>
    <w:rsid w:val="00CA74CA"/>
    <w:rsid w:val="00CA792B"/>
    <w:rsid w:val="00CA7BD9"/>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0F"/>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2F0"/>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5C"/>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0A2"/>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925"/>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4B65"/>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31A"/>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48"/>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29"/>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0FD"/>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B7B"/>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59"/>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0B9"/>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14B846A9"/>
    <w:rsid w:val="163640FB"/>
    <w:rsid w:val="699121C1"/>
    <w:rsid w:val="75BD18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iPriority="61" w:semiHidden="0" w:name="Light List Accent 3"/>
    <w:lsdException w:unhideWhenUsed="0" w:uiPriority="62" w:semiHidden="0" w:name="Light Grid Accent 3"/>
    <w:lsdException w:qFormat="1" w:uiPriority="63" w:semiHidden="0" w:name="Medium Shading 1 Accent 3"/>
    <w:lsdException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iPriority="70" w:semiHidden="0" w:name="Dark List Accent 5"/>
    <w:lsdException w:unhideWhenUsed="0" w:uiPriority="71" w:semiHidden="0" w:name="Colorful Shading Accent 5"/>
    <w:lsdException w:unhideWhenUsed="0" w:uiPriority="72" w:semiHidden="0" w:name="Colorful List Accent 5"/>
    <w:lsdException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uiPriority w:val="9"/>
    <w:rPr>
      <w:rFonts w:asciiTheme="majorHAnsi" w:hAnsiTheme="majorHAnsi" w:eastAsiaTheme="majorEastAsia" w:cstheme="majorBidi"/>
      <w:b/>
      <w:bCs/>
      <w:sz w:val="32"/>
      <w:szCs w:val="32"/>
    </w:rPr>
  </w:style>
  <w:style w:type="character" w:customStyle="1" w:styleId="77">
    <w:name w:val="标题 3 字符"/>
    <w:basedOn w:val="67"/>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uiPriority w:val="9"/>
    <w:rPr>
      <w:rFonts w:ascii="Frutiger" w:hAnsi="Frutiger" w:eastAsia="宋体"/>
      <w:b/>
      <w:bCs/>
      <w:sz w:val="28"/>
      <w:szCs w:val="28"/>
    </w:rPr>
  </w:style>
  <w:style w:type="character" w:customStyle="1" w:styleId="86">
    <w:name w:val="标题 6 字符1"/>
    <w:link w:val="7"/>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uiPriority w:val="99"/>
    <w:rPr>
      <w:rFonts w:ascii="Microsoft YaHei UI" w:hAnsi="Times New Roman" w:eastAsia="Microsoft YaHei UI" w:cs="Times New Roman"/>
      <w:sz w:val="18"/>
      <w:szCs w:val="18"/>
    </w:rPr>
  </w:style>
  <w:style w:type="character" w:customStyle="1" w:styleId="93">
    <w:name w:val="文档结构图 Char1"/>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uiPriority w:val="0"/>
    <w:rPr>
      <w:rFonts w:ascii="Times New Roman" w:hAnsi="Times New Roman" w:eastAsia="Times New Roman" w:cs="Times New Roman"/>
      <w:b/>
      <w:bCs/>
      <w:szCs w:val="21"/>
    </w:rPr>
  </w:style>
  <w:style w:type="character" w:customStyle="1" w:styleId="119">
    <w:name w:val="日期 字符"/>
    <w:basedOn w:val="67"/>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出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目录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hart" Target="charts/chart1.xml"/><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chart" Target="charts/chart6.xml"/><Relationship Id="rId13" Type="http://schemas.openxmlformats.org/officeDocument/2006/relationships/chart" Target="charts/chart5.xml"/><Relationship Id="rId12" Type="http://schemas.openxmlformats.org/officeDocument/2006/relationships/chart" Target="charts/chart4.xml"/><Relationship Id="rId11" Type="http://schemas.openxmlformats.org/officeDocument/2006/relationships/chart" Target="charts/chart3.xml"/><Relationship Id="rId10" Type="http://schemas.openxmlformats.org/officeDocument/2006/relationships/chart" Target="charts/chart2.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4" Type="http://schemas.microsoft.com/office/2011/relationships/chartColorStyle" Target="colors6.xml"/><Relationship Id="rId3" Type="http://schemas.microsoft.com/office/2011/relationships/chartStyle" Target="style6.xml"/><Relationship Id="rId2" Type="http://schemas.openxmlformats.org/officeDocument/2006/relationships/chartUserShapes" Target="../drawings/drawing1.xml"/><Relationship Id="rId1" Type="http://schemas.openxmlformats.org/officeDocument/2006/relationships/oleObject" Target="file:///C:\Users\Administrator\Desktop\&#35266;&#28857;&#25991;&#20214;\&#35266;&#28857;&#25968;&#25454;&#22270;&#34920;&#27169;&#26495;-&#27169;&#26495;%2020240612%20&#20026;&#20934;.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C:\Users\Administrator\Desktop\&#35266;&#28857;&#25991;&#20214;\&#35266;&#28857;&#25968;&#25454;&#22270;&#34920;&#27169;&#26495;-&#27169;&#26495;%2020240612%20&#20026;&#20934;.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C:\Users\Administrator\Desktop\&#35266;&#28857;&#25991;&#20214;\&#35266;&#28857;&#25968;&#25454;&#22270;&#34920;&#27169;&#26495;-&#27169;&#26495;%2020240612%20&#20026;&#20934;.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Administrator\Desktop\&#35266;&#28857;&#25991;&#20214;\&#35266;&#28857;&#25968;&#25454;&#22270;&#34920;&#27169;&#26495;-&#27169;&#26495;%2020240612%20&#20026;&#20934;.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Administrator\Desktop\&#35266;&#28857;&#25991;&#20214;\&#35266;&#28857;&#25968;&#25454;&#22270;&#34920;&#27169;&#26495;-&#27169;&#26495;%2020240612%20&#20026;&#20934;.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C:\Users\Administrator\Desktop\&#35266;&#28857;&#25991;&#20214;\&#35266;&#28857;&#25968;&#25454;&#22270;&#34920;&#27169;&#26495;-&#27169;&#26495;%2020240612%20&#20026;&#20934;.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Global Market Size ($ Mn)</a:t>
            </a:r>
            <a:endParaRPr lang="en-US"/>
          </a:p>
        </c:rich>
      </c:tx>
      <c:layout/>
      <c:overlay val="0"/>
      <c:spPr>
        <a:noFill/>
        <a:ln>
          <a:noFill/>
        </a:ln>
        <a:effectLst/>
      </c:spPr>
    </c:title>
    <c:autoTitleDeleted val="0"/>
    <c:plotArea>
      <c:layout>
        <c:manualLayout>
          <c:layoutTarget val="inner"/>
          <c:xMode val="edge"/>
          <c:yMode val="edge"/>
          <c:x val="0.0333680629718612"/>
          <c:y val="0.131440849673203"/>
          <c:w val="0.937283950617284"/>
          <c:h val="0.793030392156863"/>
        </c:manualLayout>
      </c:layout>
      <c:barChart>
        <c:barDir val="col"/>
        <c:grouping val="stacked"/>
        <c:varyColors val="0"/>
        <c:ser>
          <c:idx val="0"/>
          <c:order val="0"/>
          <c:tx>
            <c:strRef>
              <c:f>全球总体!$R$7</c:f>
              <c:strCache>
                <c:ptCount val="1"/>
                <c:pt idx="0">
                  <c:v>Global Market Size ($ Mn)</c:v>
                </c:pt>
              </c:strCache>
            </c:strRef>
          </c:tx>
          <c:spPr>
            <a:solidFill>
              <a:srgbClr val="002060"/>
            </a:solidFill>
            <a:ln>
              <a:noFill/>
            </a:ln>
            <a:effectLst/>
          </c:spPr>
          <c:invertIfNegative val="0"/>
          <c:dLbls>
            <c:delete val="1"/>
          </c:dLbls>
          <c:cat>
            <c:numRef>
              <c:f>全球总体!$S$6:$U$6</c:f>
              <c:numCache>
                <c:formatCode>General</c:formatCode>
                <c:ptCount val="3"/>
                <c:pt idx="0">
                  <c:v>2020</c:v>
                </c:pt>
                <c:pt idx="1">
                  <c:v>2025</c:v>
                </c:pt>
                <c:pt idx="2">
                  <c:v>2031</c:v>
                </c:pt>
              </c:numCache>
            </c:numRef>
          </c:cat>
          <c:val>
            <c:numRef>
              <c:f>全球总体!$S$7:$U$7</c:f>
              <c:numCache>
                <c:formatCode>#,##0_ </c:formatCode>
                <c:ptCount val="3"/>
                <c:pt idx="0">
                  <c:v>2.49</c:v>
                </c:pt>
                <c:pt idx="1">
                  <c:v>6.03</c:v>
                </c:pt>
                <c:pt idx="2">
                  <c:v>44.46</c:v>
                </c:pt>
              </c:numCache>
            </c:numRef>
          </c:val>
        </c:ser>
        <c:dLbls>
          <c:showLegendKey val="0"/>
          <c:showVal val="0"/>
          <c:showCatName val="0"/>
          <c:showSerName val="0"/>
          <c:showPercent val="0"/>
          <c:showBubbleSize val="0"/>
        </c:dLbls>
        <c:gapWidth val="219"/>
        <c:overlap val="100"/>
        <c:serLines>
          <c:spPr>
            <a:ln w="15875" cap="sq" cmpd="sng" algn="ctr">
              <a:solidFill>
                <a:srgbClr val="002060"/>
              </a:solidFill>
              <a:round/>
              <a:headEnd type="triangle"/>
            </a:ln>
            <a:effectLst/>
          </c:spPr>
        </c:serLines>
        <c:axId val="719571343"/>
        <c:axId val="481370671"/>
      </c:barChart>
      <c:catAx>
        <c:axId val="71957134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481370671"/>
        <c:crosses val="autoZero"/>
        <c:auto val="1"/>
        <c:lblAlgn val="ctr"/>
        <c:lblOffset val="100"/>
        <c:noMultiLvlLbl val="0"/>
      </c:catAx>
      <c:valAx>
        <c:axId val="481370671"/>
        <c:scaling>
          <c:orientation val="minMax"/>
        </c:scaling>
        <c:delete val="0"/>
        <c:axPos val="l"/>
        <c:majorGridlines>
          <c:spPr>
            <a:ln w="9525" cap="flat" cmpd="sng" algn="ctr">
              <a:noFill/>
              <a:round/>
            </a:ln>
            <a:effectLst/>
          </c:spPr>
        </c:majorGridlines>
        <c:numFmt formatCode="#,##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19571343"/>
        <c:crosses val="autoZero"/>
        <c:crossBetween val="between"/>
      </c:valAx>
      <c:spPr>
        <a:noFill/>
        <a:ln>
          <a:noFill/>
        </a:ln>
        <a:effectLst/>
      </c:spPr>
    </c:plotArea>
    <c:plotVisOnly val="1"/>
    <c:dispBlanksAs val="gap"/>
    <c:showDLblsOverMax val="0"/>
    <c:extLst>
      <c:ext uri="{0b15fc19-7d7d-44ad-8c2d-2c3a37ce22c3}">
        <chartProps xmlns="https://web.wps.cn/et/2018/main" chartId="{174c16b3-18f1-4bc7-b47f-4fd8d6655425}"/>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宋体" panose="02010600030101010101" charset="-122"/>
                <a:cs typeface="+mn-cs"/>
              </a:defRPr>
            </a:pPr>
            <a:r>
              <a:rPr lang="zh-CN" sz="1100"/>
              <a:t>全球市场主要企业排名</a:t>
            </a:r>
            <a:endParaRPr lang="en-US" sz="1100"/>
          </a:p>
        </c:rich>
      </c:tx>
      <c:layout>
        <c:manualLayout>
          <c:xMode val="edge"/>
          <c:yMode val="edge"/>
          <c:x val="0.332020778652668"/>
          <c:y val="0.0346320818516983"/>
        </c:manualLayout>
      </c:layout>
      <c:overlay val="0"/>
      <c:spPr>
        <a:noFill/>
        <a:ln>
          <a:noFill/>
        </a:ln>
        <a:effectLst/>
      </c:spPr>
    </c:title>
    <c:autoTitleDeleted val="0"/>
    <c:plotArea>
      <c:layout/>
      <c:barChart>
        <c:barDir val="bar"/>
        <c:grouping val="clustered"/>
        <c:varyColors val="1"/>
        <c:ser>
          <c:idx val="0"/>
          <c:order val="0"/>
          <c:tx>
            <c:strRef>
              <c:f>企业收入!$I$1</c:f>
              <c:strCache>
                <c:ptCount val="1"/>
                <c:pt idx="0">
                  <c:v>2024</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Lbls>
            <c:delete val="1"/>
          </c:dLbls>
          <c:cat>
            <c:strRef>
              <c:f>企业收入!$H$2:$H$6</c:f>
              <c:strCache>
                <c:ptCount val="5"/>
                <c:pt idx="0">
                  <c:v>默克集团</c:v>
                </c:pt>
                <c:pt idx="1">
                  <c:v>American Elements</c:v>
                </c:pt>
                <c:pt idx="2">
                  <c:v>Strem Chemicals</c:v>
                </c:pt>
                <c:pt idx="3">
                  <c:v>Gelest</c:v>
                </c:pt>
                <c:pt idx="4">
                  <c:v>Ereztech</c:v>
                </c:pt>
              </c:strCache>
            </c:strRef>
          </c:cat>
          <c:val>
            <c:numRef>
              <c:f>企业收入!$I$2:$I$6</c:f>
              <c:numCache>
                <c:formatCode>0.0%</c:formatCode>
                <c:ptCount val="5"/>
                <c:pt idx="0">
                  <c:v>0.522357723577236</c:v>
                </c:pt>
                <c:pt idx="1">
                  <c:v>0.266260162601626</c:v>
                </c:pt>
                <c:pt idx="2">
                  <c:v>0.0508130081300813</c:v>
                </c:pt>
                <c:pt idx="3">
                  <c:v>0.0365853658536585</c:v>
                </c:pt>
                <c:pt idx="4">
                  <c:v>0.024390243902439</c:v>
                </c:pt>
              </c:numCache>
            </c:numRef>
          </c:val>
        </c:ser>
        <c:dLbls>
          <c:showLegendKey val="0"/>
          <c:showVal val="0"/>
          <c:showCatName val="0"/>
          <c:showSerName val="0"/>
          <c:showPercent val="0"/>
          <c:showBubbleSize val="0"/>
        </c:dLbls>
        <c:gapWidth val="45"/>
        <c:axId val="1272139183"/>
        <c:axId val="1326546959"/>
      </c:barChart>
      <c:catAx>
        <c:axId val="1272139183"/>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宋体" panose="02010600030101010101" charset="-122"/>
                <a:cs typeface="+mn-cs"/>
              </a:defRPr>
            </a:pPr>
          </a:p>
        </c:txPr>
        <c:crossAx val="1326546959"/>
        <c:crosses val="autoZero"/>
        <c:auto val="1"/>
        <c:lblAlgn val="ctr"/>
        <c:lblOffset val="100"/>
        <c:noMultiLvlLbl val="0"/>
      </c:catAx>
      <c:valAx>
        <c:axId val="1326546959"/>
        <c:scaling>
          <c:orientation val="minMax"/>
        </c:scaling>
        <c:delete val="0"/>
        <c:axPos val="t"/>
        <c:majorGridlines>
          <c:spPr>
            <a:ln w="9525" cap="flat" cmpd="sng" algn="ctr">
              <a:noFill/>
              <a:round/>
            </a:ln>
            <a:effectLst/>
          </c:spPr>
        </c:majorGridlines>
        <c:numFmt formatCode="0.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宋体" panose="02010600030101010101" charset="-122"/>
                <a:cs typeface="+mn-cs"/>
              </a:defRPr>
            </a:pPr>
          </a:p>
        </c:txPr>
        <c:crossAx val="1272139183"/>
        <c:crosses val="autoZero"/>
        <c:crossBetween val="between"/>
      </c:valAx>
      <c:spPr>
        <a:noFill/>
        <a:ln>
          <a:noFill/>
        </a:ln>
        <a:effectLst/>
      </c:spPr>
    </c:plotArea>
    <c:plotVisOnly val="1"/>
    <c:dispBlanksAs val="gap"/>
    <c:showDLblsOverMax val="0"/>
    <c:extLst>
      <c:ext uri="{0b15fc19-7d7d-44ad-8c2d-2c3a37ce22c3}">
        <chartProps xmlns="https://web.wps.cn/et/2018/main" chartId="{3d5bf75a-6b43-4906-980f-7e38fc1d1763}"/>
      </c:ext>
    </c:extLst>
  </c:chart>
  <c:spPr>
    <a:solidFill>
      <a:schemeClr val="bg1"/>
    </a:solidFill>
    <a:ln w="9525" cap="flat" cmpd="sng" algn="ctr">
      <a:noFill/>
      <a:round/>
    </a:ln>
    <a:effectLst/>
  </c:spPr>
  <c:txPr>
    <a:bodyPr/>
    <a:lstStyle/>
    <a:p>
      <a:pPr>
        <a:defRPr lang="zh-CN" baseline="0">
          <a:latin typeface="Times New Roman" panose="02020603050405020304" charset="0"/>
          <a:ea typeface="宋体" panose="02010600030101010101" charset="-122"/>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Book Antiqua" panose="02040602050305030304" pitchFamily="1" charset="0"/>
                <a:ea typeface="+mn-ea"/>
                <a:cs typeface="+mn-cs"/>
              </a:defRPr>
            </a:pPr>
            <a:r>
              <a:rPr lang="en-US" altLang="zh-CN" sz="1200">
                <a:latin typeface="Book Antiqua" panose="02040602050305030304" pitchFamily="1" charset="0"/>
              </a:rPr>
              <a:t>Market Size:</a:t>
            </a:r>
            <a:r>
              <a:rPr lang="en-US" altLang="zh-CN" sz="1200" baseline="0">
                <a:latin typeface="Book Antiqua" panose="02040602050305030304" pitchFamily="1" charset="0"/>
              </a:rPr>
              <a:t> </a:t>
            </a:r>
            <a:r>
              <a:rPr lang="en-US" altLang="zh-CN" sz="1200">
                <a:latin typeface="Book Antiqua" panose="02040602050305030304" pitchFamily="1" charset="0"/>
              </a:rPr>
              <a:t>2020 Vs 2024 VS 2031</a:t>
            </a:r>
            <a:endParaRPr lang="zh-CN" altLang="en-US" sz="1200">
              <a:latin typeface="Book Antiqua" panose="02040602050305030304" pitchFamily="1" charset="0"/>
            </a:endParaRPr>
          </a:p>
        </c:rich>
      </c:tx>
      <c:layout/>
      <c:overlay val="0"/>
      <c:spPr>
        <a:noFill/>
        <a:ln>
          <a:noFill/>
        </a:ln>
        <a:effectLst/>
      </c:spPr>
    </c:title>
    <c:autoTitleDeleted val="0"/>
    <c:plotArea>
      <c:layout/>
      <c:barChart>
        <c:barDir val="col"/>
        <c:grouping val="clustered"/>
        <c:varyColors val="0"/>
        <c:ser>
          <c:idx val="0"/>
          <c:order val="0"/>
          <c:tx>
            <c:strRef>
              <c:f>分类!$AI$1</c:f>
              <c:strCache>
                <c:ptCount val="1"/>
                <c:pt idx="0">
                  <c:v>2020</c:v>
                </c:pt>
              </c:strCache>
            </c:strRef>
          </c:tx>
          <c:spPr>
            <a:solidFill>
              <a:srgbClr val="FFC000"/>
            </a:solidFill>
            <a:ln>
              <a:noFill/>
            </a:ln>
            <a:effectLst/>
          </c:spPr>
          <c:invertIfNegative val="0"/>
          <c:dLbls>
            <c:delete val="1"/>
          </c:dLbls>
          <c:cat>
            <c:strRef>
              <c:f>分类!$AH$2:$AH$9</c:f>
              <c:strCache>
                <c:ptCount val="2"/>
                <c:pt idx="0">
                  <c:v>铜(I)前驱体</c:v>
                </c:pt>
                <c:pt idx="1">
                  <c:v>铜(II)前驱体</c:v>
                </c:pt>
              </c:strCache>
            </c:strRef>
          </c:cat>
          <c:val>
            <c:numRef>
              <c:f>分类!$AI$2:$AI$9</c:f>
              <c:numCache>
                <c:formatCode>#,##0_);[Red]\(#,##0\)</c:formatCode>
                <c:ptCount val="2"/>
                <c:pt idx="0">
                  <c:v>0.58</c:v>
                </c:pt>
                <c:pt idx="1">
                  <c:v>1.91</c:v>
                </c:pt>
              </c:numCache>
            </c:numRef>
          </c:val>
        </c:ser>
        <c:ser>
          <c:idx val="1"/>
          <c:order val="1"/>
          <c:tx>
            <c:strRef>
              <c:f>分类!$AJ$1</c:f>
              <c:strCache>
                <c:ptCount val="1"/>
                <c:pt idx="0">
                  <c:v>2024</c:v>
                </c:pt>
              </c:strCache>
            </c:strRef>
          </c:tx>
          <c:spPr>
            <a:solidFill>
              <a:schemeClr val="bg1">
                <a:lumMod val="50000"/>
              </a:schemeClr>
            </a:solidFill>
            <a:ln>
              <a:noFill/>
            </a:ln>
            <a:effectLst/>
          </c:spPr>
          <c:invertIfNegative val="0"/>
          <c:dLbls>
            <c:delete val="1"/>
          </c:dLbls>
          <c:cat>
            <c:strRef>
              <c:f>分类!$AH$2:$AH$9</c:f>
              <c:strCache>
                <c:ptCount val="2"/>
                <c:pt idx="0">
                  <c:v>铜(I)前驱体</c:v>
                </c:pt>
                <c:pt idx="1">
                  <c:v>铜(II)前驱体</c:v>
                </c:pt>
              </c:strCache>
            </c:strRef>
          </c:cat>
          <c:val>
            <c:numRef>
              <c:f>分类!$AJ$2:$AJ$9</c:f>
              <c:numCache>
                <c:formatCode>#,##0_);[Red]\(#,##0\)</c:formatCode>
                <c:ptCount val="2"/>
                <c:pt idx="0">
                  <c:v>1.08</c:v>
                </c:pt>
                <c:pt idx="1">
                  <c:v>3.84</c:v>
                </c:pt>
              </c:numCache>
            </c:numRef>
          </c:val>
        </c:ser>
        <c:ser>
          <c:idx val="2"/>
          <c:order val="2"/>
          <c:tx>
            <c:strRef>
              <c:f>分类!$AK$1</c:f>
              <c:strCache>
                <c:ptCount val="1"/>
                <c:pt idx="0">
                  <c:v>2031</c:v>
                </c:pt>
              </c:strCache>
            </c:strRef>
          </c:tx>
          <c:spPr>
            <a:solidFill>
              <a:srgbClr val="002060"/>
            </a:solidFill>
            <a:ln>
              <a:noFill/>
            </a:ln>
            <a:effectLst/>
          </c:spPr>
          <c:invertIfNegative val="0"/>
          <c:dLbls>
            <c:delete val="1"/>
          </c:dLbls>
          <c:cat>
            <c:strRef>
              <c:f>分类!$AH$2:$AH$9</c:f>
              <c:strCache>
                <c:ptCount val="2"/>
                <c:pt idx="0">
                  <c:v>铜(I)前驱体</c:v>
                </c:pt>
                <c:pt idx="1">
                  <c:v>铜(II)前驱体</c:v>
                </c:pt>
              </c:strCache>
            </c:strRef>
          </c:cat>
          <c:val>
            <c:numRef>
              <c:f>分类!$AK$2:$AK$9</c:f>
              <c:numCache>
                <c:formatCode>#,##0_);[Red]\(#,##0\)</c:formatCode>
                <c:ptCount val="2"/>
                <c:pt idx="0">
                  <c:v>8.61</c:v>
                </c:pt>
                <c:pt idx="1">
                  <c:v>35.85</c:v>
                </c:pt>
              </c:numCache>
            </c:numRef>
          </c:val>
        </c:ser>
        <c:dLbls>
          <c:showLegendKey val="0"/>
          <c:showVal val="0"/>
          <c:showCatName val="0"/>
          <c:showSerName val="0"/>
          <c:showPercent val="0"/>
          <c:showBubbleSize val="0"/>
        </c:dLbls>
        <c:gapWidth val="75"/>
        <c:axId val="25844928"/>
        <c:axId val="1875643855"/>
      </c:barChart>
      <c:catAx>
        <c:axId val="258449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875643855"/>
        <c:crosses val="autoZero"/>
        <c:auto val="1"/>
        <c:lblAlgn val="ctr"/>
        <c:lblOffset val="100"/>
        <c:noMultiLvlLbl val="0"/>
      </c:catAx>
      <c:valAx>
        <c:axId val="1875643855"/>
        <c:scaling>
          <c:orientation val="minMax"/>
        </c:scaling>
        <c:delete val="0"/>
        <c:axPos val="l"/>
        <c:majorGridlines>
          <c:spPr>
            <a:ln w="9525" cap="flat" cmpd="sng" algn="ctr">
              <a:noFill/>
              <a:round/>
            </a:ln>
            <a:effectLst/>
          </c:spPr>
        </c:majorGridlines>
        <c:numFmt formatCode="#,##0_);[Red]\(#,##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25844928"/>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legend>
    <c:plotVisOnly val="1"/>
    <c:dispBlanksAs val="gap"/>
    <c:showDLblsOverMax val="0"/>
    <c:extLst>
      <c:ext uri="{0b15fc19-7d7d-44ad-8c2d-2c3a37ce22c3}">
        <chartProps xmlns="https://web.wps.cn/et/2018/main" chartId="{d87b4dd1-10aa-4e18-9dc8-91d5dc70dc1d}"/>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Book Antiqua" panose="02040602050305030304" pitchFamily="1" charset="0"/>
                <a:ea typeface="+mn-ea"/>
                <a:cs typeface="+mn-cs"/>
              </a:defRPr>
            </a:pPr>
            <a:r>
              <a:rPr lang="en-US" altLang="zh-CN" sz="1200">
                <a:latin typeface="Book Antiqua" panose="02040602050305030304" pitchFamily="1" charset="0"/>
              </a:rPr>
              <a:t>Market Size:</a:t>
            </a:r>
            <a:r>
              <a:rPr lang="en-US" altLang="zh-CN" sz="1200" baseline="0">
                <a:latin typeface="Book Antiqua" panose="02040602050305030304" pitchFamily="1" charset="0"/>
              </a:rPr>
              <a:t> </a:t>
            </a:r>
            <a:r>
              <a:rPr lang="en-US" altLang="zh-CN" sz="1200">
                <a:latin typeface="Book Antiqua" panose="02040602050305030304" pitchFamily="1" charset="0"/>
              </a:rPr>
              <a:t>2020 Vs 2024 VS 2031</a:t>
            </a:r>
            <a:endParaRPr lang="zh-CN" altLang="en-US" sz="1200">
              <a:latin typeface="Book Antiqua" panose="02040602050305030304" pitchFamily="1" charset="0"/>
            </a:endParaRPr>
          </a:p>
        </c:rich>
      </c:tx>
      <c:layout/>
      <c:overlay val="0"/>
      <c:spPr>
        <a:noFill/>
        <a:ln>
          <a:noFill/>
        </a:ln>
        <a:effectLst/>
      </c:spPr>
    </c:title>
    <c:autoTitleDeleted val="0"/>
    <c:plotArea>
      <c:layout>
        <c:manualLayout>
          <c:layoutTarget val="inner"/>
          <c:xMode val="edge"/>
          <c:yMode val="edge"/>
          <c:x val="0.0176388888888889"/>
          <c:y val="0.144887908496732"/>
          <c:w val="0.956882716049383"/>
          <c:h val="0.659895424836601"/>
        </c:manualLayout>
      </c:layout>
      <c:barChart>
        <c:barDir val="col"/>
        <c:grouping val="clustered"/>
        <c:varyColors val="0"/>
        <c:ser>
          <c:idx val="0"/>
          <c:order val="0"/>
          <c:tx>
            <c:strRef>
              <c:f>应用!$AI$1</c:f>
              <c:strCache>
                <c:ptCount val="1"/>
                <c:pt idx="0">
                  <c:v>2020</c:v>
                </c:pt>
              </c:strCache>
            </c:strRef>
          </c:tx>
          <c:spPr>
            <a:solidFill>
              <a:srgbClr val="FFC000"/>
            </a:solidFill>
            <a:ln>
              <a:noFill/>
            </a:ln>
            <a:effectLst/>
          </c:spPr>
          <c:invertIfNegative val="0"/>
          <c:dLbls>
            <c:delete val="1"/>
          </c:dLbls>
          <c:cat>
            <c:strRef>
              <c:f>应用!$AH$2:$AH$11</c:f>
              <c:strCache>
                <c:ptCount val="4"/>
                <c:pt idx="0">
                  <c:v>逻辑芯片</c:v>
                </c:pt>
                <c:pt idx="1">
                  <c:v>存储芯片</c:v>
                </c:pt>
                <c:pt idx="2">
                  <c:v>功率器件</c:v>
                </c:pt>
                <c:pt idx="3">
                  <c:v>其他</c:v>
                </c:pt>
              </c:strCache>
            </c:strRef>
          </c:cat>
          <c:val>
            <c:numRef>
              <c:f>应用!$AI$2:$AI$11</c:f>
              <c:numCache>
                <c:formatCode>#,##0_);[Red]\(#,##0\)</c:formatCode>
                <c:ptCount val="4"/>
                <c:pt idx="0">
                  <c:v>0.98</c:v>
                </c:pt>
                <c:pt idx="1">
                  <c:v>0.75</c:v>
                </c:pt>
                <c:pt idx="2">
                  <c:v>0.38</c:v>
                </c:pt>
                <c:pt idx="3">
                  <c:v>0.38</c:v>
                </c:pt>
              </c:numCache>
            </c:numRef>
          </c:val>
        </c:ser>
        <c:ser>
          <c:idx val="1"/>
          <c:order val="1"/>
          <c:tx>
            <c:strRef>
              <c:f>应用!$AJ$1</c:f>
              <c:strCache>
                <c:ptCount val="1"/>
                <c:pt idx="0">
                  <c:v>2024</c:v>
                </c:pt>
              </c:strCache>
            </c:strRef>
          </c:tx>
          <c:spPr>
            <a:solidFill>
              <a:schemeClr val="bg1">
                <a:lumMod val="50000"/>
              </a:schemeClr>
            </a:solidFill>
            <a:ln>
              <a:noFill/>
            </a:ln>
            <a:effectLst/>
          </c:spPr>
          <c:invertIfNegative val="0"/>
          <c:dLbls>
            <c:delete val="1"/>
          </c:dLbls>
          <c:cat>
            <c:strRef>
              <c:f>应用!$AH$2:$AH$11</c:f>
              <c:strCache>
                <c:ptCount val="4"/>
                <c:pt idx="0">
                  <c:v>逻辑芯片</c:v>
                </c:pt>
                <c:pt idx="1">
                  <c:v>存储芯片</c:v>
                </c:pt>
                <c:pt idx="2">
                  <c:v>功率器件</c:v>
                </c:pt>
                <c:pt idx="3">
                  <c:v>其他</c:v>
                </c:pt>
              </c:strCache>
            </c:strRef>
          </c:cat>
          <c:val>
            <c:numRef>
              <c:f>应用!$AJ$2:$AJ$11</c:f>
              <c:numCache>
                <c:formatCode>#,##0_);[Red]\(#,##0\)</c:formatCode>
                <c:ptCount val="4"/>
                <c:pt idx="0">
                  <c:v>1.99</c:v>
                </c:pt>
                <c:pt idx="1">
                  <c:v>1.5</c:v>
                </c:pt>
                <c:pt idx="2">
                  <c:v>0.73</c:v>
                </c:pt>
                <c:pt idx="3">
                  <c:v>0.7</c:v>
                </c:pt>
              </c:numCache>
            </c:numRef>
          </c:val>
        </c:ser>
        <c:ser>
          <c:idx val="2"/>
          <c:order val="2"/>
          <c:tx>
            <c:strRef>
              <c:f>应用!$AK$1</c:f>
              <c:strCache>
                <c:ptCount val="1"/>
                <c:pt idx="0">
                  <c:v>2031</c:v>
                </c:pt>
              </c:strCache>
            </c:strRef>
          </c:tx>
          <c:spPr>
            <a:solidFill>
              <a:srgbClr val="002060"/>
            </a:solidFill>
            <a:ln>
              <a:noFill/>
            </a:ln>
            <a:effectLst/>
          </c:spPr>
          <c:invertIfNegative val="0"/>
          <c:dLbls>
            <c:delete val="1"/>
          </c:dLbls>
          <c:cat>
            <c:strRef>
              <c:f>应用!$AH$2:$AH$11</c:f>
              <c:strCache>
                <c:ptCount val="4"/>
                <c:pt idx="0">
                  <c:v>逻辑芯片</c:v>
                </c:pt>
                <c:pt idx="1">
                  <c:v>存储芯片</c:v>
                </c:pt>
                <c:pt idx="2">
                  <c:v>功率器件</c:v>
                </c:pt>
                <c:pt idx="3">
                  <c:v>其他</c:v>
                </c:pt>
              </c:strCache>
            </c:strRef>
          </c:cat>
          <c:val>
            <c:numRef>
              <c:f>应用!$AK$2:$AK$11</c:f>
              <c:numCache>
                <c:formatCode>#,##0_);[Red]\(#,##0\)</c:formatCode>
                <c:ptCount val="4"/>
                <c:pt idx="0">
                  <c:v>19.44</c:v>
                </c:pt>
                <c:pt idx="1">
                  <c:v>14.35</c:v>
                </c:pt>
                <c:pt idx="2">
                  <c:v>5.17</c:v>
                </c:pt>
                <c:pt idx="3">
                  <c:v>5.5</c:v>
                </c:pt>
              </c:numCache>
            </c:numRef>
          </c:val>
        </c:ser>
        <c:dLbls>
          <c:showLegendKey val="0"/>
          <c:showVal val="0"/>
          <c:showCatName val="0"/>
          <c:showSerName val="0"/>
          <c:showPercent val="0"/>
          <c:showBubbleSize val="0"/>
        </c:dLbls>
        <c:gapWidth val="75"/>
        <c:axId val="25844928"/>
        <c:axId val="1875643855"/>
      </c:barChart>
      <c:catAx>
        <c:axId val="258449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875643855"/>
        <c:crosses val="autoZero"/>
        <c:auto val="1"/>
        <c:lblAlgn val="ctr"/>
        <c:lblOffset val="100"/>
        <c:noMultiLvlLbl val="0"/>
      </c:catAx>
      <c:valAx>
        <c:axId val="1875643855"/>
        <c:scaling>
          <c:orientation val="minMax"/>
        </c:scaling>
        <c:delete val="0"/>
        <c:axPos val="l"/>
        <c:majorGridlines>
          <c:spPr>
            <a:ln w="9525" cap="flat" cmpd="sng" algn="ctr">
              <a:noFill/>
              <a:round/>
            </a:ln>
            <a:effectLst/>
          </c:spPr>
        </c:majorGridlines>
        <c:numFmt formatCode="#,##0_);[Red]\(#,##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25844928"/>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legend>
    <c:plotVisOnly val="1"/>
    <c:dispBlanksAs val="gap"/>
    <c:showDLblsOverMax val="0"/>
    <c:extLst>
      <c:ext uri="{0b15fc19-7d7d-44ad-8c2d-2c3a37ce22c3}">
        <chartProps xmlns="https://web.wps.cn/et/2018/main" chartId="{91e7a6c7-f1bc-4e59-940d-1665e6789316}"/>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Book Antiqua" panose="02040602050305030304" pitchFamily="1" charset="0"/>
                <a:ea typeface="+mn-ea"/>
                <a:cs typeface="+mn-cs"/>
              </a:defRPr>
            </a:pPr>
            <a:r>
              <a:rPr lang="en-US" altLang="zh-CN" sz="1200">
                <a:latin typeface="Book Antiqua" panose="02040602050305030304" pitchFamily="1" charset="0"/>
              </a:rPr>
              <a:t>Market Size By Region, 2020 Vs 2024 VS 2031</a:t>
            </a:r>
            <a:endParaRPr lang="en-US" altLang="zh-CN" sz="1200">
              <a:latin typeface="Book Antiqua" panose="02040602050305030304" pitchFamily="1" charset="0"/>
            </a:endParaRPr>
          </a:p>
        </c:rich>
      </c:tx>
      <c:layout/>
      <c:overlay val="0"/>
      <c:spPr>
        <a:noFill/>
        <a:ln>
          <a:noFill/>
        </a:ln>
        <a:effectLst/>
      </c:spPr>
    </c:title>
    <c:autoTitleDeleted val="0"/>
    <c:plotArea>
      <c:layout/>
      <c:barChart>
        <c:barDir val="col"/>
        <c:grouping val="clustered"/>
        <c:varyColors val="0"/>
        <c:ser>
          <c:idx val="0"/>
          <c:order val="0"/>
          <c:tx>
            <c:strRef>
              <c:f>'地区-消费'!$AE$1</c:f>
              <c:strCache>
                <c:ptCount val="1"/>
                <c:pt idx="0">
                  <c:v>2020</c:v>
                </c:pt>
              </c:strCache>
            </c:strRef>
          </c:tx>
          <c:spPr>
            <a:solidFill>
              <a:srgbClr val="FFC000"/>
            </a:solidFill>
            <a:ln>
              <a:noFill/>
            </a:ln>
            <a:effectLst/>
          </c:spPr>
          <c:invertIfNegative val="0"/>
          <c:dLbls>
            <c:delete val="1"/>
          </c:dLbls>
          <c:cat>
            <c:strRef>
              <c:f>'地区-消费'!$AD$2:$AD$12</c:f>
              <c:strCache>
                <c:ptCount val="7"/>
                <c:pt idx="0">
                  <c:v>北美</c:v>
                </c:pt>
                <c:pt idx="1">
                  <c:v>欧洲</c:v>
                </c:pt>
                <c:pt idx="2">
                  <c:v>中国</c:v>
                </c:pt>
                <c:pt idx="3">
                  <c:v>日本</c:v>
                </c:pt>
                <c:pt idx="4">
                  <c:v>韩国</c:v>
                </c:pt>
                <c:pt idx="5">
                  <c:v>中国台湾</c:v>
                </c:pt>
                <c:pt idx="6">
                  <c:v>其他地区</c:v>
                </c:pt>
              </c:strCache>
            </c:strRef>
          </c:cat>
          <c:val>
            <c:numRef>
              <c:f>'地区-消费'!$AE$2:$AE$12</c:f>
              <c:numCache>
                <c:formatCode>#,##0_);[Red]\(#,##0\)</c:formatCode>
                <c:ptCount val="7"/>
                <c:pt idx="0">
                  <c:v>0.22</c:v>
                </c:pt>
                <c:pt idx="1">
                  <c:v>0.08</c:v>
                </c:pt>
                <c:pt idx="2">
                  <c:v>0.26</c:v>
                </c:pt>
                <c:pt idx="3">
                  <c:v>0.13</c:v>
                </c:pt>
                <c:pt idx="4">
                  <c:v>0.42</c:v>
                </c:pt>
                <c:pt idx="5">
                  <c:v>1.31</c:v>
                </c:pt>
                <c:pt idx="6">
                  <c:v>0.07</c:v>
                </c:pt>
              </c:numCache>
            </c:numRef>
          </c:val>
        </c:ser>
        <c:ser>
          <c:idx val="1"/>
          <c:order val="1"/>
          <c:tx>
            <c:strRef>
              <c:f>'地区-消费'!$AF$1</c:f>
              <c:strCache>
                <c:ptCount val="1"/>
                <c:pt idx="0">
                  <c:v>2024</c:v>
                </c:pt>
              </c:strCache>
            </c:strRef>
          </c:tx>
          <c:spPr>
            <a:solidFill>
              <a:schemeClr val="bg1">
                <a:lumMod val="50000"/>
              </a:schemeClr>
            </a:solidFill>
            <a:ln>
              <a:noFill/>
            </a:ln>
            <a:effectLst/>
          </c:spPr>
          <c:invertIfNegative val="0"/>
          <c:dLbls>
            <c:delete val="1"/>
          </c:dLbls>
          <c:cat>
            <c:strRef>
              <c:f>'地区-消费'!$AD$2:$AD$12</c:f>
              <c:strCache>
                <c:ptCount val="7"/>
                <c:pt idx="0">
                  <c:v>北美</c:v>
                </c:pt>
                <c:pt idx="1">
                  <c:v>欧洲</c:v>
                </c:pt>
                <c:pt idx="2">
                  <c:v>中国</c:v>
                </c:pt>
                <c:pt idx="3">
                  <c:v>日本</c:v>
                </c:pt>
                <c:pt idx="4">
                  <c:v>韩国</c:v>
                </c:pt>
                <c:pt idx="5">
                  <c:v>中国台湾</c:v>
                </c:pt>
                <c:pt idx="6">
                  <c:v>其他地区</c:v>
                </c:pt>
              </c:strCache>
            </c:strRef>
          </c:cat>
          <c:val>
            <c:numRef>
              <c:f>'地区-消费'!$AF$2:$AF$12</c:f>
              <c:numCache>
                <c:formatCode>#,##0_);[Red]\(#,##0\)</c:formatCode>
                <c:ptCount val="7"/>
                <c:pt idx="0">
                  <c:v>0.42</c:v>
                </c:pt>
                <c:pt idx="1">
                  <c:v>0.14</c:v>
                </c:pt>
                <c:pt idx="2">
                  <c:v>0.65</c:v>
                </c:pt>
                <c:pt idx="3">
                  <c:v>0.23</c:v>
                </c:pt>
                <c:pt idx="4">
                  <c:v>0.9</c:v>
                </c:pt>
                <c:pt idx="5">
                  <c:v>2.45</c:v>
                </c:pt>
                <c:pt idx="6">
                  <c:v>0.13</c:v>
                </c:pt>
              </c:numCache>
            </c:numRef>
          </c:val>
        </c:ser>
        <c:ser>
          <c:idx val="2"/>
          <c:order val="2"/>
          <c:tx>
            <c:strRef>
              <c:f>'地区-消费'!$AG$1</c:f>
              <c:strCache>
                <c:ptCount val="1"/>
                <c:pt idx="0">
                  <c:v>2031</c:v>
                </c:pt>
              </c:strCache>
            </c:strRef>
          </c:tx>
          <c:spPr>
            <a:solidFill>
              <a:srgbClr val="002060"/>
            </a:solidFill>
            <a:ln>
              <a:noFill/>
            </a:ln>
            <a:effectLst/>
          </c:spPr>
          <c:invertIfNegative val="0"/>
          <c:dLbls>
            <c:delete val="1"/>
          </c:dLbls>
          <c:cat>
            <c:strRef>
              <c:f>'地区-消费'!$AD$2:$AD$12</c:f>
              <c:strCache>
                <c:ptCount val="7"/>
                <c:pt idx="0">
                  <c:v>北美</c:v>
                </c:pt>
                <c:pt idx="1">
                  <c:v>欧洲</c:v>
                </c:pt>
                <c:pt idx="2">
                  <c:v>中国</c:v>
                </c:pt>
                <c:pt idx="3">
                  <c:v>日本</c:v>
                </c:pt>
                <c:pt idx="4">
                  <c:v>韩国</c:v>
                </c:pt>
                <c:pt idx="5">
                  <c:v>中国台湾</c:v>
                </c:pt>
                <c:pt idx="6">
                  <c:v>其他地区</c:v>
                </c:pt>
              </c:strCache>
            </c:strRef>
          </c:cat>
          <c:val>
            <c:numRef>
              <c:f>'地区-消费'!$AG$2:$AG$12</c:f>
              <c:numCache>
                <c:formatCode>#,##0_);[Red]\(#,##0\)</c:formatCode>
                <c:ptCount val="7"/>
                <c:pt idx="0">
                  <c:v>3.57</c:v>
                </c:pt>
                <c:pt idx="1">
                  <c:v>1.18</c:v>
                </c:pt>
                <c:pt idx="2">
                  <c:v>7.65</c:v>
                </c:pt>
                <c:pt idx="3">
                  <c:v>2.1</c:v>
                </c:pt>
                <c:pt idx="4">
                  <c:v>7.62</c:v>
                </c:pt>
                <c:pt idx="5">
                  <c:v>21.2</c:v>
                </c:pt>
                <c:pt idx="6">
                  <c:v>1.14</c:v>
                </c:pt>
              </c:numCache>
            </c:numRef>
          </c:val>
        </c:ser>
        <c:dLbls>
          <c:showLegendKey val="0"/>
          <c:showVal val="0"/>
          <c:showCatName val="0"/>
          <c:showSerName val="0"/>
          <c:showPercent val="0"/>
          <c:showBubbleSize val="0"/>
        </c:dLbls>
        <c:gapWidth val="75"/>
        <c:axId val="25844928"/>
        <c:axId val="1875643855"/>
      </c:barChart>
      <c:catAx>
        <c:axId val="258449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875643855"/>
        <c:crosses val="autoZero"/>
        <c:auto val="1"/>
        <c:lblAlgn val="ctr"/>
        <c:lblOffset val="100"/>
        <c:noMultiLvlLbl val="0"/>
      </c:catAx>
      <c:valAx>
        <c:axId val="1875643855"/>
        <c:scaling>
          <c:orientation val="minMax"/>
        </c:scaling>
        <c:delete val="0"/>
        <c:axPos val="l"/>
        <c:majorGridlines>
          <c:spPr>
            <a:ln w="9525" cap="flat" cmpd="sng" algn="ctr">
              <a:noFill/>
              <a:round/>
            </a:ln>
            <a:effectLst/>
          </c:spPr>
        </c:majorGridlines>
        <c:numFmt formatCode="#,##0_);[Red]\(#,##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25844928"/>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legend>
    <c:plotVisOnly val="1"/>
    <c:dispBlanksAs val="gap"/>
    <c:showDLblsOverMax val="0"/>
    <c:extLst>
      <c:ext uri="{0b15fc19-7d7d-44ad-8c2d-2c3a37ce22c3}">
        <chartProps xmlns="https://web.wps.cn/et/2018/main" chartId="{2ef1a888-6998-4761-a3fe-303c347335ee}"/>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'地区-消费'!$A$2</c:f>
              <c:strCache>
                <c:ptCount val="1"/>
                <c:pt idx="0">
                  <c:v>北美</c:v>
                </c:pt>
              </c:strCache>
            </c:strRef>
          </c:tx>
          <c:spPr>
            <a:solidFill>
              <a:srgbClr val="002060"/>
            </a:solidFill>
            <a:ln>
              <a:noFill/>
            </a:ln>
            <a:effectLst/>
          </c:spPr>
          <c:invertIfNegative val="0"/>
          <c:dLbls>
            <c:delete val="1"/>
          </c:dLbls>
          <c:cat>
            <c:numRef>
              <c:f>'地区-消费'!$B$1:$M$1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'地区-消费'!$B$2:$M$2</c:f>
              <c:numCache>
                <c:formatCode>#,##0_);[Red]\(#,##0\)</c:formatCode>
                <c:ptCount val="12"/>
                <c:pt idx="0">
                  <c:v>0.22</c:v>
                </c:pt>
                <c:pt idx="1">
                  <c:v>0.25</c:v>
                </c:pt>
                <c:pt idx="2">
                  <c:v>0.32</c:v>
                </c:pt>
                <c:pt idx="3">
                  <c:v>0.33</c:v>
                </c:pt>
                <c:pt idx="4">
                  <c:v>0.42</c:v>
                </c:pt>
                <c:pt idx="5">
                  <c:v>0.49</c:v>
                </c:pt>
                <c:pt idx="6">
                  <c:v>0.720000000000001</c:v>
                </c:pt>
                <c:pt idx="7">
                  <c:v>0.93</c:v>
                </c:pt>
                <c:pt idx="8">
                  <c:v>1.33</c:v>
                </c:pt>
                <c:pt idx="9">
                  <c:v>1.95</c:v>
                </c:pt>
                <c:pt idx="10">
                  <c:v>2.66</c:v>
                </c:pt>
                <c:pt idx="11">
                  <c:v>3.57</c:v>
                </c:pt>
              </c:numCache>
            </c:numRef>
          </c:val>
        </c:ser>
        <c:ser>
          <c:idx val="1"/>
          <c:order val="1"/>
          <c:tx>
            <c:strRef>
              <c:f>'地区-消费'!$A$3</c:f>
              <c:strCache>
                <c:ptCount val="1"/>
                <c:pt idx="0">
                  <c:v>欧洲</c:v>
                </c:pt>
              </c:strCache>
            </c:strRef>
          </c:tx>
          <c:spPr>
            <a:solidFill>
              <a:schemeClr val="bg1">
                <a:lumMod val="50000"/>
              </a:schemeClr>
            </a:solidFill>
            <a:ln>
              <a:noFill/>
            </a:ln>
            <a:effectLst/>
          </c:spPr>
          <c:invertIfNegative val="0"/>
          <c:dLbls>
            <c:delete val="1"/>
          </c:dLbls>
          <c:cat>
            <c:numRef>
              <c:f>'地区-消费'!$B$1:$M$1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'地区-消费'!$B$3:$M$3</c:f>
              <c:numCache>
                <c:formatCode>#,##0_);[Red]\(#,##0\)</c:formatCode>
                <c:ptCount val="12"/>
                <c:pt idx="0">
                  <c:v>0.08</c:v>
                </c:pt>
                <c:pt idx="1">
                  <c:v>0.09</c:v>
                </c:pt>
                <c:pt idx="2">
                  <c:v>0.11</c:v>
                </c:pt>
                <c:pt idx="3">
                  <c:v>0.12</c:v>
                </c:pt>
                <c:pt idx="4">
                  <c:v>0.14</c:v>
                </c:pt>
                <c:pt idx="5">
                  <c:v>0.17</c:v>
                </c:pt>
                <c:pt idx="6">
                  <c:v>0.25</c:v>
                </c:pt>
                <c:pt idx="7">
                  <c:v>0.33</c:v>
                </c:pt>
                <c:pt idx="8">
                  <c:v>0.46</c:v>
                </c:pt>
                <c:pt idx="9">
                  <c:v>0.65</c:v>
                </c:pt>
                <c:pt idx="10">
                  <c:v>0.89</c:v>
                </c:pt>
                <c:pt idx="11">
                  <c:v>1.18</c:v>
                </c:pt>
              </c:numCache>
            </c:numRef>
          </c:val>
        </c:ser>
        <c:ser>
          <c:idx val="2"/>
          <c:order val="2"/>
          <c:tx>
            <c:strRef>
              <c:f>'地区-消费'!$A$4</c:f>
              <c:strCache>
                <c:ptCount val="1"/>
                <c:pt idx="0">
                  <c:v>中国</c:v>
                </c:pt>
              </c:strCache>
            </c:strRef>
          </c:tx>
          <c:spPr>
            <a:solidFill>
              <a:srgbClr val="0070C0"/>
            </a:solidFill>
            <a:ln>
              <a:noFill/>
            </a:ln>
            <a:effectLst/>
          </c:spPr>
          <c:invertIfNegative val="0"/>
          <c:dLbls>
            <c:delete val="1"/>
          </c:dLbls>
          <c:cat>
            <c:numRef>
              <c:f>'地区-消费'!$B$1:$M$1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'地区-消费'!$B$4:$M$4</c:f>
              <c:numCache>
                <c:formatCode>#,##0_);[Red]\(#,##0\)</c:formatCode>
                <c:ptCount val="12"/>
                <c:pt idx="0">
                  <c:v>0.26</c:v>
                </c:pt>
                <c:pt idx="1">
                  <c:v>0.35</c:v>
                </c:pt>
                <c:pt idx="2">
                  <c:v>0.43</c:v>
                </c:pt>
                <c:pt idx="3">
                  <c:v>0.47</c:v>
                </c:pt>
                <c:pt idx="4">
                  <c:v>0.65</c:v>
                </c:pt>
                <c:pt idx="5">
                  <c:v>0.82</c:v>
                </c:pt>
                <c:pt idx="6">
                  <c:v>1.29</c:v>
                </c:pt>
                <c:pt idx="7">
                  <c:v>1.8</c:v>
                </c:pt>
                <c:pt idx="8">
                  <c:v>2.61</c:v>
                </c:pt>
                <c:pt idx="9">
                  <c:v>3.83</c:v>
                </c:pt>
                <c:pt idx="10">
                  <c:v>5.48</c:v>
                </c:pt>
                <c:pt idx="11">
                  <c:v>7.65</c:v>
                </c:pt>
              </c:numCache>
            </c:numRef>
          </c:val>
        </c:ser>
        <c:ser>
          <c:idx val="3"/>
          <c:order val="3"/>
          <c:tx>
            <c:strRef>
              <c:f>'地区-消费'!$A$5</c:f>
              <c:strCache>
                <c:ptCount val="1"/>
                <c:pt idx="0">
                  <c:v>日本</c:v>
                </c:pt>
              </c:strCache>
            </c:strRef>
          </c:tx>
          <c:spPr>
            <a:solidFill>
              <a:srgbClr val="FFC000"/>
            </a:solidFill>
            <a:ln>
              <a:noFill/>
            </a:ln>
            <a:effectLst/>
          </c:spPr>
          <c:invertIfNegative val="0"/>
          <c:dLbls>
            <c:delete val="1"/>
          </c:dLbls>
          <c:cat>
            <c:numRef>
              <c:f>'地区-消费'!$B$1:$M$1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'地区-消费'!$B$5:$M$5</c:f>
              <c:numCache>
                <c:formatCode>#,##0_);[Red]\(#,##0\)</c:formatCode>
                <c:ptCount val="12"/>
                <c:pt idx="0">
                  <c:v>0.13</c:v>
                </c:pt>
                <c:pt idx="1">
                  <c:v>0.15</c:v>
                </c:pt>
                <c:pt idx="2">
                  <c:v>0.17</c:v>
                </c:pt>
                <c:pt idx="3">
                  <c:v>0.18</c:v>
                </c:pt>
                <c:pt idx="4">
                  <c:v>0.23</c:v>
                </c:pt>
                <c:pt idx="5">
                  <c:v>0.29</c:v>
                </c:pt>
                <c:pt idx="6">
                  <c:v>0.42</c:v>
                </c:pt>
                <c:pt idx="7">
                  <c:v>0.56</c:v>
                </c:pt>
                <c:pt idx="8">
                  <c:v>0.78</c:v>
                </c:pt>
                <c:pt idx="9">
                  <c:v>1.12</c:v>
                </c:pt>
                <c:pt idx="10">
                  <c:v>1.55</c:v>
                </c:pt>
                <c:pt idx="11">
                  <c:v>2.1</c:v>
                </c:pt>
              </c:numCache>
            </c:numRef>
          </c:val>
        </c:ser>
        <c:ser>
          <c:idx val="4"/>
          <c:order val="4"/>
          <c:tx>
            <c:strRef>
              <c:f>'地区-消费'!$A$6</c:f>
              <c:strCache>
                <c:ptCount val="1"/>
                <c:pt idx="0">
                  <c:v>韩国</c:v>
                </c:pt>
              </c:strCache>
            </c:strRef>
          </c:tx>
          <c:spPr>
            <a:solidFill>
              <a:schemeClr val="tx1">
                <a:lumMod val="65000"/>
                <a:lumOff val="35000"/>
              </a:schemeClr>
            </a:solidFill>
            <a:ln>
              <a:noFill/>
            </a:ln>
            <a:effectLst/>
          </c:spPr>
          <c:invertIfNegative val="0"/>
          <c:dLbls>
            <c:delete val="1"/>
          </c:dLbls>
          <c:cat>
            <c:numRef>
              <c:f>'地区-消费'!$B$1:$M$1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'地区-消费'!$B$6:$M$6</c:f>
            </c:numRef>
          </c:val>
        </c:ser>
        <c:ser>
          <c:idx val="5"/>
          <c:order val="5"/>
          <c:tx>
            <c:strRef>
              <c:f>'地区-消费'!$A$7</c:f>
              <c:strCache>
                <c:ptCount val="1"/>
                <c:pt idx="0">
                  <c:v>中国台湾</c:v>
                </c:pt>
              </c:strCache>
            </c:strRef>
          </c:tx>
          <c:spPr>
            <a:solidFill>
              <a:srgbClr val="C00000"/>
            </a:solidFill>
            <a:ln>
              <a:noFill/>
            </a:ln>
            <a:effectLst/>
          </c:spPr>
          <c:invertIfNegative val="0"/>
          <c:dLbls>
            <c:delete val="1"/>
          </c:dLbls>
          <c:cat>
            <c:numRef>
              <c:f>'地区-消费'!$B$1:$M$1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'地区-消费'!$B$7:$M$7</c:f>
            </c:numRef>
          </c:val>
        </c:ser>
        <c:ser>
          <c:idx val="6"/>
          <c:order val="6"/>
          <c:tx>
            <c:strRef>
              <c:f>'地区-消费'!$A$8</c:f>
              <c:strCache>
                <c:ptCount val="1"/>
                <c:pt idx="0">
                  <c:v/>
                </c:pt>
              </c:strCache>
            </c:strRef>
          </c:tx>
          <c:spPr>
            <a:solidFill>
              <a:srgbClr val="7030A0"/>
            </a:solidFill>
            <a:ln>
              <a:noFill/>
            </a:ln>
            <a:effectLst/>
          </c:spPr>
          <c:invertIfNegative val="0"/>
          <c:dLbls>
            <c:delete val="1"/>
          </c:dLbls>
          <c:cat>
            <c:numRef>
              <c:f>'地区-消费'!$B$1:$M$1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'地区-消费'!$B$8:$M$8</c:f>
            </c:numRef>
          </c:val>
        </c:ser>
        <c:ser>
          <c:idx val="7"/>
          <c:order val="7"/>
          <c:tx>
            <c:strRef>
              <c:f>'地区-消费'!$A$9</c:f>
              <c:strCache>
                <c:ptCount val="1"/>
                <c:pt idx="0">
                  <c:v/>
                </c:pt>
              </c:strCache>
            </c:strRef>
          </c:tx>
          <c:spPr>
            <a:solidFill>
              <a:schemeClr val="tx2">
                <a:lumMod val="60000"/>
                <a:lumOff val="40000"/>
              </a:schemeClr>
            </a:solidFill>
            <a:ln>
              <a:noFill/>
            </a:ln>
            <a:effectLst/>
          </c:spPr>
          <c:invertIfNegative val="0"/>
          <c:dLbls>
            <c:delete val="1"/>
          </c:dLbls>
          <c:cat>
            <c:numRef>
              <c:f>'地区-消费'!$B$1:$M$1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'地区-消费'!$B$9:$M$9</c:f>
            </c:numRef>
          </c:val>
        </c:ser>
        <c:ser>
          <c:idx val="8"/>
          <c:order val="8"/>
          <c:tx>
            <c:strRef>
              <c:f>'地区-消费'!$A$10</c:f>
              <c:strCache>
                <c:ptCount val="1"/>
                <c:pt idx="0">
                  <c:v>韩国</c:v>
                </c:pt>
              </c:strCache>
            </c:strRef>
          </c:tx>
          <c:spPr>
            <a:solidFill>
              <a:schemeClr val="accent6">
                <a:lumMod val="75000"/>
              </a:schemeClr>
            </a:solidFill>
            <a:ln>
              <a:noFill/>
            </a:ln>
            <a:effectLst/>
          </c:spPr>
          <c:invertIfNegative val="0"/>
          <c:dLbls>
            <c:delete val="1"/>
          </c:dLbls>
          <c:cat>
            <c:numRef>
              <c:f>'地区-消费'!$B$1:$M$1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'地区-消费'!$B$10:$M$10</c:f>
              <c:numCache>
                <c:formatCode>#,##0_);[Red]\(#,##0\)</c:formatCode>
                <c:ptCount val="12"/>
                <c:pt idx="0">
                  <c:v>0.42</c:v>
                </c:pt>
                <c:pt idx="1">
                  <c:v>0.53</c:v>
                </c:pt>
                <c:pt idx="2">
                  <c:v>0.68</c:v>
                </c:pt>
                <c:pt idx="3">
                  <c:v>0.69</c:v>
                </c:pt>
                <c:pt idx="4">
                  <c:v>0.9</c:v>
                </c:pt>
                <c:pt idx="5">
                  <c:v>1.1</c:v>
                </c:pt>
                <c:pt idx="6">
                  <c:v>1.62</c:v>
                </c:pt>
                <c:pt idx="7">
                  <c:v>2.12</c:v>
                </c:pt>
                <c:pt idx="8">
                  <c:v>2.95</c:v>
                </c:pt>
                <c:pt idx="9">
                  <c:v>4.15</c:v>
                </c:pt>
                <c:pt idx="10">
                  <c:v>5.68</c:v>
                </c:pt>
                <c:pt idx="11">
                  <c:v>7.62</c:v>
                </c:pt>
              </c:numCache>
            </c:numRef>
          </c:val>
        </c:ser>
        <c:ser>
          <c:idx val="9"/>
          <c:order val="9"/>
          <c:tx>
            <c:strRef>
              <c:f>'地区-消费'!$A$11</c:f>
              <c:strCache>
                <c:ptCount val="1"/>
                <c:pt idx="0">
                  <c:v>中国台湾</c:v>
                </c:pt>
              </c:strCache>
            </c:strRef>
          </c:tx>
          <c:spPr>
            <a:solidFill>
              <a:schemeClr val="accent4">
                <a:lumMod val="60000"/>
              </a:schemeClr>
            </a:solidFill>
            <a:ln>
              <a:noFill/>
            </a:ln>
            <a:effectLst/>
          </c:spPr>
          <c:invertIfNegative val="0"/>
          <c:dLbls>
            <c:delete val="1"/>
          </c:dLbls>
          <c:cat>
            <c:numRef>
              <c:f>'地区-消费'!$B$1:$M$1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'地区-消费'!$B$11:$M$11</c:f>
              <c:numCache>
                <c:formatCode>#,##0_);[Red]\(#,##0\)</c:formatCode>
                <c:ptCount val="12"/>
                <c:pt idx="0">
                  <c:v>1.31</c:v>
                </c:pt>
                <c:pt idx="1">
                  <c:v>1.56</c:v>
                </c:pt>
                <c:pt idx="2">
                  <c:v>1.81</c:v>
                </c:pt>
                <c:pt idx="3">
                  <c:v>1.89</c:v>
                </c:pt>
                <c:pt idx="4">
                  <c:v>2.45</c:v>
                </c:pt>
                <c:pt idx="5">
                  <c:v>3</c:v>
                </c:pt>
                <c:pt idx="6">
                  <c:v>4.46</c:v>
                </c:pt>
                <c:pt idx="7">
                  <c:v>5.87</c:v>
                </c:pt>
                <c:pt idx="8">
                  <c:v>8.23</c:v>
                </c:pt>
                <c:pt idx="9">
                  <c:v>11.56</c:v>
                </c:pt>
                <c:pt idx="10">
                  <c:v>15.84</c:v>
                </c:pt>
                <c:pt idx="11">
                  <c:v>21.2</c:v>
                </c:pt>
              </c:numCache>
            </c:numRef>
          </c:val>
        </c:ser>
        <c:ser>
          <c:idx val="10"/>
          <c:order val="10"/>
          <c:tx>
            <c:strRef>
              <c:f>'地区-消费'!$A$12</c:f>
              <c:strCache>
                <c:ptCount val="1"/>
                <c:pt idx="0">
                  <c:v>其他地区</c:v>
                </c:pt>
              </c:strCache>
            </c:strRef>
          </c:tx>
          <c:spPr>
            <a:solidFill>
              <a:schemeClr val="accent5">
                <a:lumMod val="60000"/>
              </a:schemeClr>
            </a:solidFill>
            <a:ln>
              <a:noFill/>
            </a:ln>
            <a:effectLst/>
          </c:spPr>
          <c:invertIfNegative val="0"/>
          <c:dLbls>
            <c:delete val="1"/>
          </c:dLbls>
          <c:cat>
            <c:numRef>
              <c:f>'地区-消费'!$B$1:$M$1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'地区-消费'!$B$12:$M$12</c:f>
              <c:numCache>
                <c:formatCode>#,##0_);[Red]\(#,##0\)</c:formatCode>
                <c:ptCount val="12"/>
                <c:pt idx="0">
                  <c:v>0.07</c:v>
                </c:pt>
                <c:pt idx="1">
                  <c:v>0.09</c:v>
                </c:pt>
                <c:pt idx="2">
                  <c:v>0.1</c:v>
                </c:pt>
                <c:pt idx="3">
                  <c:v>0.1</c:v>
                </c:pt>
                <c:pt idx="4">
                  <c:v>0.13</c:v>
                </c:pt>
                <c:pt idx="5">
                  <c:v>0.16</c:v>
                </c:pt>
                <c:pt idx="6">
                  <c:v>0.24</c:v>
                </c:pt>
                <c:pt idx="7">
                  <c:v>0.32</c:v>
                </c:pt>
                <c:pt idx="8">
                  <c:v>0.44</c:v>
                </c:pt>
                <c:pt idx="9">
                  <c:v>0.63</c:v>
                </c:pt>
                <c:pt idx="10">
                  <c:v>0.86</c:v>
                </c:pt>
                <c:pt idx="11">
                  <c:v>1.14</c:v>
                </c:pt>
              </c:numCache>
            </c:numRef>
          </c:val>
        </c:ser>
        <c:dLbls>
          <c:showLegendKey val="0"/>
          <c:showVal val="0"/>
          <c:showCatName val="0"/>
          <c:showSerName val="0"/>
          <c:showPercent val="0"/>
          <c:showBubbleSize val="0"/>
        </c:dLbls>
        <c:gapWidth val="45"/>
        <c:overlap val="100"/>
        <c:axId val="1897692240"/>
        <c:axId val="1897707216"/>
      </c:barChart>
      <c:catAx>
        <c:axId val="18976922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707216"/>
        <c:crosses val="autoZero"/>
        <c:auto val="1"/>
        <c:lblAlgn val="ctr"/>
        <c:lblOffset val="100"/>
        <c:noMultiLvlLbl val="0"/>
      </c:catAx>
      <c:valAx>
        <c:axId val="1897707216"/>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69224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32b592b6-9a3a-496d-bba7-826339495bb8}"/>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0.60793</cdr:x>
      <cdr:y>0.27494</cdr:y>
    </cdr:from>
    <cdr:to>
      <cdr:x>0.7304</cdr:x>
      <cdr:y>0.38082</cdr:y>
    </cdr:to>
    <cdr:sp>
      <cdr:nvSpPr>
        <cdr:cNvPr id="2" name="椭圆 1"/>
        <cdr:cNvSpPr/>
      </cdr:nvSpPr>
      <cdr:spPr xmlns:a="http://schemas.openxmlformats.org/drawingml/2006/main">
        <a:xfrm xmlns:a="http://schemas.openxmlformats.org/drawingml/2006/main" rot="21480000">
          <a:off x="3895614" y="841307"/>
          <a:ext cx="784800" cy="324000"/>
        </a:xfrm>
        <a:prstGeom xmlns:a="http://schemas.openxmlformats.org/drawingml/2006/main" prst="ellipse">
          <a:avLst/>
        </a:prstGeom>
        <a:solidFill>
          <a:srgbClr val="FFC000"/>
        </a:solid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endParaRPr lang="zh-CN" sz="800" baseline="0">
            <a:solidFill>
              <a:srgbClr val="002060"/>
            </a:solidFill>
            <a:latin typeface="Times New Roman" panose="02020603050405020304" charset="0"/>
            <a:ea typeface="宋体" panose="02010600030101010101" charset="-122"/>
            <a:cs typeface="Times New Roman" panose="02020603050405020304" charset="0"/>
          </a:endParaRPr>
        </a:p>
      </cdr:txBody>
    </cdr:sp>
  </cdr:relSizeAnchor>
  <cdr:relSizeAnchor xmlns:cdr="http://schemas.openxmlformats.org/drawingml/2006/chartDrawing">
    <cdr:from>
      <cdr:x>0.27574</cdr:x>
      <cdr:y>0.47252</cdr:y>
    </cdr:from>
    <cdr:to>
      <cdr:x>0.39821</cdr:x>
      <cdr:y>0.57891</cdr:y>
    </cdr:to>
    <cdr:sp>
      <cdr:nvSpPr>
        <cdr:cNvPr id="3" name="椭圆 2"/>
        <cdr:cNvSpPr/>
      </cdr:nvSpPr>
      <cdr:spPr xmlns:a="http://schemas.openxmlformats.org/drawingml/2006/main">
        <a:xfrm xmlns:a="http://schemas.openxmlformats.org/drawingml/2006/main" rot="21480000">
          <a:off x="1766911" y="1445911"/>
          <a:ext cx="784824" cy="325542"/>
        </a:xfrm>
        <a:prstGeom xmlns:a="http://schemas.openxmlformats.org/drawingml/2006/main" prst="ellipse">
          <a:avLst/>
        </a:prstGeom>
        <a:solidFill>
          <a:srgbClr val="FFC000"/>
        </a:solidFill>
        <a:ln>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endParaRPr lang="zh-CN" sz="900" baseline="0">
            <a:solidFill>
              <a:srgbClr val="002060"/>
            </a:solidFill>
            <a:latin typeface="Times New Roman" panose="02020603050405020304" charset="0"/>
            <a:ea typeface="宋体" panose="02010600030101010101" charset="-122"/>
            <a:cs typeface="Times New Roman" panose="02020603050405020304" charset="0"/>
          </a:endParaRP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2056"/>
    <customShpInfo spid="_x0000_s205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2DA4ECA-2069-4443-A680-77DC0B2B7390}">
  <ds:schemaRefs/>
</ds:datastoreItem>
</file>

<file path=docProps/app.xml><?xml version="1.0" encoding="utf-8"?>
<Properties xmlns="http://schemas.openxmlformats.org/officeDocument/2006/extended-properties" xmlns:vt="http://schemas.openxmlformats.org/officeDocument/2006/docPropsVTypes">
  <Template>Normal</Template>
  <Pages>5</Pages>
  <Words>2095</Words>
  <Characters>2424</Characters>
  <Lines>17</Lines>
  <Paragraphs>5</Paragraphs>
  <TotalTime>4</TotalTime>
  <ScaleCrop>false</ScaleCrop>
  <LinksUpToDate>false</LinksUpToDate>
  <CharactersWithSpaces>2450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2025-09-29T10:47:38Z</dcterms:modified>
  <cp:revision>954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2052-12.1.0.22529</vt:lpwstr>
  </property>
  <property fmtid="{D5CDD505-2E9C-101B-9397-08002B2CF9AE}" pid="4" name="ICV">
    <vt:lpwstr>905EE8533B0B40C8AE7DC04EA5A7580B_12</vt:lpwstr>
  </property>
</Properties>
</file>