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B0C6BC">
      <w:pPr>
        <w:jc w:val="center"/>
        <w:rPr>
          <w:rFonts w:hint="eastAsia"/>
          <w:b/>
          <w:bCs/>
          <w:lang w:val="en-US" w:eastAsia="zh-CN"/>
        </w:rPr>
      </w:pPr>
      <w:r>
        <w:rPr>
          <w:rFonts w:hint="eastAsia"/>
          <w:b/>
          <w:bCs/>
          <w:lang w:val="en-US" w:eastAsia="zh-CN"/>
        </w:rPr>
        <w:t>床垫申请BS 7177应选择什么危险级别测试？</w:t>
      </w:r>
    </w:p>
    <w:p w14:paraId="46937123">
      <w:pPr>
        <w:jc w:val="center"/>
        <w:rPr>
          <w:rFonts w:hint="eastAsia"/>
          <w:b/>
          <w:bCs/>
          <w:lang w:val="en-US" w:eastAsia="zh-CN"/>
        </w:rPr>
      </w:pPr>
    </w:p>
    <w:p w14:paraId="6AE6F968">
      <w:pPr>
        <w:jc w:val="both"/>
        <w:rPr>
          <w:rFonts w:hint="eastAsia"/>
          <w:b w:val="0"/>
          <w:bCs w:val="0"/>
          <w:lang w:val="en-US" w:eastAsia="zh-CN"/>
        </w:rPr>
      </w:pPr>
      <w:r>
        <w:rPr>
          <w:rFonts w:hint="default"/>
          <w:b w:val="0"/>
          <w:bCs w:val="0"/>
          <w:lang w:val="en-US" w:eastAsia="zh-CN"/>
        </w:rPr>
        <w:t>BS 7177是英国针对床垫、床架等家具阻燃性能的核心标准，其核心目标是通过不同危险等级的划分，确保产品在特定使用场景下的防火安全性。根据标准要求，床垫的测试等级需根据其最终用途选择对应的危险级别</w:t>
      </w:r>
      <w:r>
        <w:rPr>
          <w:rFonts w:hint="eastAsia"/>
          <w:b w:val="0"/>
          <w:bCs w:val="0"/>
          <w:lang w:val="en-US" w:eastAsia="zh-CN"/>
        </w:rPr>
        <w:t>。</w:t>
      </w:r>
    </w:p>
    <w:p w14:paraId="20206E92">
      <w:pPr>
        <w:jc w:val="both"/>
        <w:rPr>
          <w:rFonts w:hint="eastAsia"/>
          <w:b w:val="0"/>
          <w:bCs w:val="0"/>
          <w:lang w:val="en-US" w:eastAsia="zh-CN"/>
        </w:rPr>
      </w:pPr>
    </w:p>
    <w:p w14:paraId="20198606">
      <w:pPr>
        <w:jc w:val="both"/>
        <w:rPr>
          <w:rFonts w:hint="eastAsia"/>
          <w:b/>
          <w:bCs/>
          <w:lang w:val="en-US" w:eastAsia="zh-CN"/>
        </w:rPr>
      </w:pPr>
      <w:r>
        <w:rPr>
          <w:rFonts w:hint="eastAsia"/>
          <w:b/>
          <w:bCs/>
          <w:lang w:val="en-US" w:eastAsia="zh-CN"/>
        </w:rPr>
        <w:t>标准将危险等级划分为低危、中危、高危和极高危四个等级：</w:t>
      </w:r>
    </w:p>
    <w:tbl>
      <w:tblPr>
        <w:tblStyle w:val="4"/>
        <w:tblpPr w:leftFromText="180" w:rightFromText="180" w:vertAnchor="page" w:horzAnchor="page" w:tblpX="1887" w:tblpY="368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56"/>
        <w:gridCol w:w="2789"/>
        <w:gridCol w:w="3177"/>
      </w:tblGrid>
      <w:tr w14:paraId="56D5C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6" w:type="dxa"/>
            <w:tcBorders>
              <w:left w:val="nil"/>
            </w:tcBorders>
          </w:tcPr>
          <w:p w14:paraId="4572370A">
            <w:pPr>
              <w:jc w:val="center"/>
              <w:rPr>
                <w:rFonts w:hint="eastAsia" w:eastAsiaTheme="minorEastAsia"/>
                <w:vertAlign w:val="baseline"/>
                <w:lang w:val="en-US" w:eastAsia="zh-CN"/>
              </w:rPr>
            </w:pPr>
            <w:r>
              <w:rPr>
                <w:rFonts w:hint="eastAsia"/>
                <w:vertAlign w:val="baseline"/>
                <w:lang w:val="en-US" w:eastAsia="zh-CN"/>
              </w:rPr>
              <w:t>危险等级</w:t>
            </w:r>
          </w:p>
        </w:tc>
        <w:tc>
          <w:tcPr>
            <w:tcW w:w="2789" w:type="dxa"/>
          </w:tcPr>
          <w:p w14:paraId="5112AAD7">
            <w:pPr>
              <w:jc w:val="center"/>
              <w:rPr>
                <w:rFonts w:hint="default" w:eastAsiaTheme="minorEastAsia"/>
                <w:vertAlign w:val="baseline"/>
                <w:lang w:val="en-US" w:eastAsia="zh-CN"/>
              </w:rPr>
            </w:pPr>
            <w:r>
              <w:rPr>
                <w:rFonts w:hint="eastAsia"/>
                <w:vertAlign w:val="baseline"/>
                <w:lang w:val="en-US" w:eastAsia="zh-CN"/>
              </w:rPr>
              <w:t>测试方法</w:t>
            </w:r>
          </w:p>
        </w:tc>
        <w:tc>
          <w:tcPr>
            <w:tcW w:w="3177" w:type="dxa"/>
            <w:tcBorders>
              <w:right w:val="nil"/>
            </w:tcBorders>
          </w:tcPr>
          <w:p w14:paraId="7ACE6BEE">
            <w:pPr>
              <w:jc w:val="center"/>
              <w:rPr>
                <w:rFonts w:hint="default" w:eastAsiaTheme="minorEastAsia"/>
                <w:vertAlign w:val="baseline"/>
                <w:lang w:val="en-US" w:eastAsia="zh-CN"/>
              </w:rPr>
            </w:pPr>
            <w:r>
              <w:rPr>
                <w:rFonts w:hint="eastAsia"/>
                <w:vertAlign w:val="baseline"/>
                <w:lang w:val="en-US" w:eastAsia="zh-CN"/>
              </w:rPr>
              <w:t>使用场景</w:t>
            </w:r>
          </w:p>
        </w:tc>
      </w:tr>
      <w:tr w14:paraId="3F02A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6" w:type="dxa"/>
            <w:tcBorders>
              <w:left w:val="nil"/>
            </w:tcBorders>
            <w:vAlign w:val="center"/>
          </w:tcPr>
          <w:p w14:paraId="747462D4">
            <w:pPr>
              <w:jc w:val="center"/>
              <w:rPr>
                <w:rFonts w:hint="default" w:eastAsiaTheme="minorEastAsia"/>
                <w:vertAlign w:val="baseline"/>
                <w:lang w:val="en-US" w:eastAsia="zh-CN"/>
              </w:rPr>
            </w:pPr>
            <w:r>
              <w:rPr>
                <w:rFonts w:hint="eastAsia"/>
                <w:vertAlign w:val="baseline"/>
                <w:lang w:val="en-US" w:eastAsia="zh-CN"/>
              </w:rPr>
              <w:t>低危等级</w:t>
            </w:r>
          </w:p>
        </w:tc>
        <w:tc>
          <w:tcPr>
            <w:tcW w:w="2789" w:type="dxa"/>
            <w:vAlign w:val="center"/>
          </w:tcPr>
          <w:p w14:paraId="2C9FC796">
            <w:pPr>
              <w:rPr>
                <w:vertAlign w:val="baseline"/>
              </w:rPr>
            </w:pPr>
            <w:r>
              <w:rPr>
                <w:rFonts w:hint="eastAsia"/>
                <w:vertAlign w:val="baseline"/>
              </w:rPr>
              <w:t xml:space="preserve">BS EN </w:t>
            </w:r>
            <w:r>
              <w:rPr>
                <w:rFonts w:hint="eastAsia"/>
                <w:vertAlign w:val="baseline"/>
                <w:lang w:val="en-US" w:eastAsia="zh-CN"/>
              </w:rPr>
              <w:t>597-1</w:t>
            </w:r>
            <w:r>
              <w:rPr>
                <w:rFonts w:hint="eastAsia"/>
                <w:vertAlign w:val="baseline"/>
              </w:rPr>
              <w:t xml:space="preserve">、BS EN </w:t>
            </w:r>
            <w:r>
              <w:rPr>
                <w:rFonts w:hint="eastAsia"/>
                <w:vertAlign w:val="baseline"/>
                <w:lang w:val="en-US" w:eastAsia="zh-CN"/>
              </w:rPr>
              <w:t>597</w:t>
            </w:r>
            <w:r>
              <w:rPr>
                <w:rFonts w:hint="eastAsia"/>
                <w:vertAlign w:val="baseline"/>
              </w:rPr>
              <w:t>-2</w:t>
            </w:r>
          </w:p>
        </w:tc>
        <w:tc>
          <w:tcPr>
            <w:tcW w:w="3177" w:type="dxa"/>
            <w:tcBorders>
              <w:right w:val="nil"/>
            </w:tcBorders>
            <w:vAlign w:val="center"/>
          </w:tcPr>
          <w:p w14:paraId="50A1C5BE">
            <w:pPr>
              <w:rPr>
                <w:rFonts w:hint="default" w:eastAsiaTheme="minorEastAsia"/>
                <w:vertAlign w:val="baseline"/>
                <w:lang w:val="en-US" w:eastAsia="zh-CN"/>
              </w:rPr>
            </w:pPr>
            <w:r>
              <w:rPr>
                <w:rFonts w:hint="eastAsia"/>
                <w:vertAlign w:val="baseline"/>
                <w:lang w:val="en-US" w:eastAsia="zh-CN"/>
              </w:rPr>
              <w:t>家庭住宅（（包括非机动大篷车）</w:t>
            </w:r>
          </w:p>
        </w:tc>
      </w:tr>
      <w:tr w14:paraId="60FCA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6" w:type="dxa"/>
            <w:tcBorders>
              <w:left w:val="nil"/>
            </w:tcBorders>
            <w:vAlign w:val="center"/>
          </w:tcPr>
          <w:p w14:paraId="623E0FB5">
            <w:pPr>
              <w:jc w:val="center"/>
              <w:rPr>
                <w:rFonts w:hint="default" w:eastAsiaTheme="minorEastAsia"/>
                <w:vertAlign w:val="baseline"/>
                <w:lang w:val="en-US" w:eastAsia="zh-CN"/>
              </w:rPr>
            </w:pPr>
            <w:r>
              <w:rPr>
                <w:rFonts w:hint="eastAsia"/>
                <w:vertAlign w:val="baseline"/>
                <w:lang w:val="en-US" w:eastAsia="zh-CN"/>
              </w:rPr>
              <w:t>中危等级</w:t>
            </w:r>
          </w:p>
        </w:tc>
        <w:tc>
          <w:tcPr>
            <w:tcW w:w="2789" w:type="dxa"/>
            <w:vAlign w:val="center"/>
          </w:tcPr>
          <w:p w14:paraId="184D8A32">
            <w:pPr>
              <w:rPr>
                <w:rFonts w:hint="default" w:eastAsiaTheme="minorEastAsia"/>
                <w:vertAlign w:val="baseline"/>
                <w:lang w:val="en-US" w:eastAsia="zh-CN"/>
              </w:rPr>
            </w:pPr>
            <w:r>
              <w:rPr>
                <w:rFonts w:hint="eastAsia"/>
                <w:vertAlign w:val="baseline"/>
              </w:rPr>
              <w:t xml:space="preserve">BS EN </w:t>
            </w:r>
            <w:r>
              <w:rPr>
                <w:rFonts w:hint="eastAsia"/>
                <w:vertAlign w:val="baseline"/>
                <w:lang w:val="en-US" w:eastAsia="zh-CN"/>
              </w:rPr>
              <w:t>597-1</w:t>
            </w:r>
            <w:r>
              <w:rPr>
                <w:rFonts w:hint="eastAsia"/>
                <w:vertAlign w:val="baseline"/>
              </w:rPr>
              <w:t xml:space="preserve">、BS EN </w:t>
            </w:r>
            <w:r>
              <w:rPr>
                <w:rFonts w:hint="eastAsia"/>
                <w:vertAlign w:val="baseline"/>
                <w:lang w:val="en-US" w:eastAsia="zh-CN"/>
              </w:rPr>
              <w:t>597</w:t>
            </w:r>
            <w:r>
              <w:rPr>
                <w:rFonts w:hint="eastAsia"/>
                <w:vertAlign w:val="baseline"/>
              </w:rPr>
              <w:t>-2</w:t>
            </w:r>
            <w:r>
              <w:rPr>
                <w:rFonts w:hint="eastAsia"/>
                <w:vertAlign w:val="baseline"/>
                <w:lang w:eastAsia="zh-CN"/>
              </w:rPr>
              <w:t>、</w:t>
            </w:r>
            <w:r>
              <w:rPr>
                <w:rFonts w:hint="eastAsia"/>
                <w:vertAlign w:val="baseline"/>
                <w:lang w:val="en-US" w:eastAsia="zh-CN"/>
              </w:rPr>
              <w:t>BS 6807</w:t>
            </w:r>
          </w:p>
        </w:tc>
        <w:tc>
          <w:tcPr>
            <w:tcW w:w="3177" w:type="dxa"/>
            <w:tcBorders>
              <w:right w:val="nil"/>
            </w:tcBorders>
            <w:vAlign w:val="center"/>
          </w:tcPr>
          <w:p w14:paraId="54612CDC">
            <w:pPr>
              <w:rPr>
                <w:rFonts w:hint="default" w:eastAsiaTheme="minorEastAsia"/>
                <w:vertAlign w:val="baseline"/>
                <w:lang w:val="en-US" w:eastAsia="zh-CN"/>
              </w:rPr>
            </w:pPr>
            <w:r>
              <w:rPr>
                <w:rFonts w:hint="default" w:eastAsiaTheme="minorEastAsia"/>
                <w:vertAlign w:val="baseline"/>
                <w:lang w:val="en-US" w:eastAsia="zh-CN"/>
              </w:rPr>
              <w:t>寄宿学校</w:t>
            </w:r>
            <w:r>
              <w:rPr>
                <w:rFonts w:hint="eastAsia"/>
                <w:vertAlign w:val="baseline"/>
                <w:lang w:val="en-US" w:eastAsia="zh-CN"/>
              </w:rPr>
              <w:t>、</w:t>
            </w:r>
            <w:r>
              <w:rPr>
                <w:rFonts w:hint="default" w:eastAsiaTheme="minorEastAsia"/>
                <w:vertAlign w:val="baseline"/>
                <w:lang w:val="en-US" w:eastAsia="zh-CN"/>
              </w:rPr>
              <w:t>日间中心</w:t>
            </w:r>
            <w:r>
              <w:rPr>
                <w:rFonts w:hint="eastAsia"/>
                <w:vertAlign w:val="baseline"/>
                <w:lang w:val="en-US" w:eastAsia="zh-CN"/>
              </w:rPr>
              <w:t>、</w:t>
            </w:r>
            <w:r>
              <w:rPr>
                <w:rFonts w:hint="default" w:eastAsiaTheme="minorEastAsia"/>
                <w:vertAlign w:val="baseline"/>
                <w:lang w:val="en-US" w:eastAsia="zh-CN"/>
              </w:rPr>
              <w:t>大学和学院宿舍</w:t>
            </w:r>
            <w:r>
              <w:rPr>
                <w:rFonts w:hint="eastAsia"/>
                <w:vertAlign w:val="baseline"/>
                <w:lang w:val="en-US" w:eastAsia="zh-CN"/>
              </w:rPr>
              <w:t>、</w:t>
            </w:r>
            <w:r>
              <w:rPr>
                <w:rFonts w:hint="default" w:eastAsiaTheme="minorEastAsia"/>
                <w:vertAlign w:val="baseline"/>
                <w:lang w:val="en-US" w:eastAsia="zh-CN"/>
              </w:rPr>
              <w:t>度假营小屋</w:t>
            </w:r>
            <w:r>
              <w:rPr>
                <w:rFonts w:hint="eastAsia"/>
                <w:vertAlign w:val="baseline"/>
                <w:lang w:val="en-US" w:eastAsia="zh-CN"/>
              </w:rPr>
              <w:t>、</w:t>
            </w:r>
            <w:r>
              <w:rPr>
                <w:rFonts w:hint="default" w:eastAsiaTheme="minorEastAsia"/>
                <w:vertAlign w:val="baseline"/>
                <w:lang w:val="en-US" w:eastAsia="zh-CN"/>
              </w:rPr>
              <w:t>医院</w:t>
            </w:r>
            <w:r>
              <w:rPr>
                <w:rFonts w:hint="eastAsia"/>
                <w:vertAlign w:val="baseline"/>
                <w:lang w:val="en-US" w:eastAsia="zh-CN"/>
              </w:rPr>
              <w:t>、</w:t>
            </w:r>
            <w:r>
              <w:rPr>
                <w:rFonts w:hint="default" w:eastAsiaTheme="minorEastAsia"/>
                <w:vertAlign w:val="baseline"/>
                <w:lang w:val="en-US" w:eastAsia="zh-CN"/>
              </w:rPr>
              <w:t>旅馆</w:t>
            </w:r>
            <w:r>
              <w:rPr>
                <w:rFonts w:hint="eastAsia"/>
                <w:vertAlign w:val="baseline"/>
                <w:lang w:val="en-US" w:eastAsia="zh-CN"/>
              </w:rPr>
              <w:t>、</w:t>
            </w:r>
            <w:r>
              <w:rPr>
                <w:rFonts w:hint="default" w:eastAsiaTheme="minorEastAsia"/>
                <w:vertAlign w:val="baseline"/>
                <w:lang w:val="en-US" w:eastAsia="zh-CN"/>
              </w:rPr>
              <w:t>酒店</w:t>
            </w:r>
            <w:r>
              <w:rPr>
                <w:rFonts w:hint="eastAsia"/>
                <w:vertAlign w:val="baseline"/>
                <w:lang w:val="en-US" w:eastAsia="zh-CN"/>
              </w:rPr>
              <w:t>、</w:t>
            </w:r>
            <w:r>
              <w:rPr>
                <w:rFonts w:hint="default" w:eastAsiaTheme="minorEastAsia"/>
                <w:vertAlign w:val="baseline"/>
                <w:lang w:val="en-US" w:eastAsia="zh-CN"/>
              </w:rPr>
              <w:t>养老院</w:t>
            </w:r>
            <w:r>
              <w:rPr>
                <w:rFonts w:hint="eastAsia"/>
                <w:vertAlign w:val="baseline"/>
                <w:lang w:val="en-US" w:eastAsia="zh-CN"/>
              </w:rPr>
              <w:t>、</w:t>
            </w:r>
            <w:r>
              <w:rPr>
                <w:rFonts w:hint="default" w:eastAsiaTheme="minorEastAsia"/>
                <w:vertAlign w:val="baseline"/>
                <w:lang w:val="en-US" w:eastAsia="zh-CN"/>
              </w:rPr>
              <w:t>寄宿学校</w:t>
            </w:r>
            <w:r>
              <w:rPr>
                <w:rFonts w:hint="eastAsia"/>
                <w:vertAlign w:val="baseline"/>
                <w:lang w:val="en-US" w:eastAsia="zh-CN"/>
              </w:rPr>
              <w:t>、</w:t>
            </w:r>
            <w:r>
              <w:rPr>
                <w:rFonts w:hint="default" w:eastAsiaTheme="minorEastAsia"/>
                <w:vertAlign w:val="baseline"/>
                <w:lang w:val="en-US" w:eastAsia="zh-CN"/>
              </w:rPr>
              <w:t>服务食堂</w:t>
            </w:r>
          </w:p>
        </w:tc>
      </w:tr>
      <w:tr w14:paraId="42637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6" w:type="dxa"/>
            <w:tcBorders>
              <w:left w:val="nil"/>
            </w:tcBorders>
            <w:vAlign w:val="center"/>
          </w:tcPr>
          <w:p w14:paraId="5EC64E6C">
            <w:pPr>
              <w:jc w:val="center"/>
              <w:rPr>
                <w:rFonts w:hint="default" w:eastAsiaTheme="minorEastAsia"/>
                <w:vertAlign w:val="baseline"/>
                <w:lang w:val="en-US" w:eastAsia="zh-CN"/>
              </w:rPr>
            </w:pPr>
            <w:r>
              <w:rPr>
                <w:rFonts w:hint="eastAsia"/>
                <w:vertAlign w:val="baseline"/>
                <w:lang w:val="en-US" w:eastAsia="zh-CN"/>
              </w:rPr>
              <w:t>高危等级</w:t>
            </w:r>
          </w:p>
        </w:tc>
        <w:tc>
          <w:tcPr>
            <w:tcW w:w="2789" w:type="dxa"/>
            <w:vAlign w:val="center"/>
          </w:tcPr>
          <w:p w14:paraId="5BC663BB">
            <w:pPr>
              <w:rPr>
                <w:vertAlign w:val="baseline"/>
              </w:rPr>
            </w:pPr>
            <w:r>
              <w:rPr>
                <w:rFonts w:hint="eastAsia"/>
                <w:vertAlign w:val="baseline"/>
              </w:rPr>
              <w:t xml:space="preserve">BS EN </w:t>
            </w:r>
            <w:r>
              <w:rPr>
                <w:rFonts w:hint="eastAsia"/>
                <w:vertAlign w:val="baseline"/>
                <w:lang w:val="en-US" w:eastAsia="zh-CN"/>
              </w:rPr>
              <w:t>597-1</w:t>
            </w:r>
            <w:r>
              <w:rPr>
                <w:rFonts w:hint="eastAsia"/>
                <w:vertAlign w:val="baseline"/>
              </w:rPr>
              <w:t xml:space="preserve">、BS EN </w:t>
            </w:r>
            <w:r>
              <w:rPr>
                <w:rFonts w:hint="eastAsia"/>
                <w:vertAlign w:val="baseline"/>
                <w:lang w:val="en-US" w:eastAsia="zh-CN"/>
              </w:rPr>
              <w:t>597</w:t>
            </w:r>
            <w:r>
              <w:rPr>
                <w:rFonts w:hint="eastAsia"/>
                <w:vertAlign w:val="baseline"/>
              </w:rPr>
              <w:t>-2</w:t>
            </w:r>
            <w:r>
              <w:rPr>
                <w:rFonts w:hint="eastAsia"/>
                <w:vertAlign w:val="baseline"/>
                <w:lang w:eastAsia="zh-CN"/>
              </w:rPr>
              <w:t>、</w:t>
            </w:r>
            <w:r>
              <w:rPr>
                <w:rFonts w:hint="eastAsia"/>
                <w:vertAlign w:val="baseline"/>
                <w:lang w:val="en-US" w:eastAsia="zh-CN"/>
              </w:rPr>
              <w:t>BS 6807</w:t>
            </w:r>
          </w:p>
        </w:tc>
        <w:tc>
          <w:tcPr>
            <w:tcW w:w="3177" w:type="dxa"/>
            <w:tcBorders>
              <w:right w:val="nil"/>
            </w:tcBorders>
            <w:vAlign w:val="center"/>
          </w:tcPr>
          <w:p w14:paraId="5E67E42F">
            <w:pPr>
              <w:rPr>
                <w:rFonts w:hint="default" w:eastAsiaTheme="minorEastAsia"/>
                <w:vertAlign w:val="baseline"/>
                <w:lang w:val="en-US" w:eastAsia="zh-CN"/>
              </w:rPr>
            </w:pPr>
            <w:r>
              <w:rPr>
                <w:rFonts w:hint="default" w:eastAsiaTheme="minorEastAsia"/>
                <w:vertAlign w:val="baseline"/>
                <w:lang w:val="en-US" w:eastAsia="zh-CN"/>
              </w:rPr>
              <w:t>某些医院病房</w:t>
            </w:r>
            <w:r>
              <w:rPr>
                <w:rFonts w:hint="eastAsia"/>
                <w:vertAlign w:val="baseline"/>
                <w:lang w:val="en-US" w:eastAsia="zh-CN"/>
              </w:rPr>
              <w:t>、</w:t>
            </w:r>
            <w:r>
              <w:rPr>
                <w:rFonts w:hint="default" w:eastAsiaTheme="minorEastAsia"/>
                <w:vertAlign w:val="baseline"/>
                <w:lang w:val="en-US" w:eastAsia="zh-CN"/>
              </w:rPr>
              <w:t>旅馆</w:t>
            </w:r>
            <w:r>
              <w:rPr>
                <w:rFonts w:hint="eastAsia"/>
                <w:vertAlign w:val="baseline"/>
                <w:lang w:val="en-US" w:eastAsia="zh-CN"/>
              </w:rPr>
              <w:t>、</w:t>
            </w:r>
            <w:r>
              <w:rPr>
                <w:rFonts w:hint="default" w:eastAsiaTheme="minorEastAsia"/>
                <w:vertAlign w:val="baseline"/>
                <w:lang w:val="en-US" w:eastAsia="zh-CN"/>
              </w:rPr>
              <w:t>酒店</w:t>
            </w:r>
            <w:r>
              <w:rPr>
                <w:rFonts w:hint="eastAsia"/>
                <w:vertAlign w:val="baseline"/>
                <w:lang w:val="en-US" w:eastAsia="zh-CN"/>
              </w:rPr>
              <w:t>、</w:t>
            </w:r>
            <w:r>
              <w:rPr>
                <w:rFonts w:hint="default" w:eastAsiaTheme="minorEastAsia"/>
                <w:vertAlign w:val="baseline"/>
                <w:lang w:val="en-US" w:eastAsia="zh-CN"/>
              </w:rPr>
              <w:t>海上设施</w:t>
            </w:r>
            <w:r>
              <w:rPr>
                <w:rFonts w:hint="eastAsia"/>
                <w:vertAlign w:val="baseline"/>
                <w:lang w:val="en-US" w:eastAsia="zh-CN"/>
              </w:rPr>
              <w:t>、</w:t>
            </w:r>
            <w:r>
              <w:rPr>
                <w:rFonts w:hint="default" w:eastAsiaTheme="minorEastAsia"/>
                <w:vertAlign w:val="baseline"/>
                <w:lang w:val="en-US" w:eastAsia="zh-CN"/>
              </w:rPr>
              <w:t>养老院</w:t>
            </w:r>
          </w:p>
        </w:tc>
      </w:tr>
      <w:tr w14:paraId="7B297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6" w:type="dxa"/>
            <w:tcBorders>
              <w:left w:val="nil"/>
            </w:tcBorders>
            <w:vAlign w:val="center"/>
          </w:tcPr>
          <w:p w14:paraId="0CD3A672">
            <w:pPr>
              <w:jc w:val="center"/>
              <w:rPr>
                <w:rFonts w:hint="default" w:eastAsiaTheme="minorEastAsia"/>
                <w:vertAlign w:val="baseline"/>
                <w:lang w:val="en-US" w:eastAsia="zh-CN"/>
              </w:rPr>
            </w:pPr>
            <w:r>
              <w:rPr>
                <w:rFonts w:hint="eastAsia"/>
                <w:vertAlign w:val="baseline"/>
                <w:lang w:val="en-US" w:eastAsia="zh-CN"/>
              </w:rPr>
              <w:t>极高等级</w:t>
            </w:r>
          </w:p>
        </w:tc>
        <w:tc>
          <w:tcPr>
            <w:tcW w:w="2789" w:type="dxa"/>
            <w:vAlign w:val="center"/>
          </w:tcPr>
          <w:p w14:paraId="775A638F">
            <w:pPr>
              <w:rPr>
                <w:vertAlign w:val="baseline"/>
              </w:rPr>
            </w:pPr>
            <w:r>
              <w:rPr>
                <w:rFonts w:hint="eastAsia"/>
                <w:vertAlign w:val="baseline"/>
              </w:rPr>
              <w:t xml:space="preserve">BS EN </w:t>
            </w:r>
            <w:r>
              <w:rPr>
                <w:rFonts w:hint="eastAsia"/>
                <w:vertAlign w:val="baseline"/>
                <w:lang w:val="en-US" w:eastAsia="zh-CN"/>
              </w:rPr>
              <w:t>597-1</w:t>
            </w:r>
            <w:r>
              <w:rPr>
                <w:rFonts w:hint="eastAsia"/>
                <w:vertAlign w:val="baseline"/>
              </w:rPr>
              <w:t xml:space="preserve">、BS EN </w:t>
            </w:r>
            <w:r>
              <w:rPr>
                <w:rFonts w:hint="eastAsia"/>
                <w:vertAlign w:val="baseline"/>
                <w:lang w:val="en-US" w:eastAsia="zh-CN"/>
              </w:rPr>
              <w:t>597</w:t>
            </w:r>
            <w:r>
              <w:rPr>
                <w:rFonts w:hint="eastAsia"/>
                <w:vertAlign w:val="baseline"/>
              </w:rPr>
              <w:t>-2</w:t>
            </w:r>
            <w:r>
              <w:rPr>
                <w:rFonts w:hint="eastAsia"/>
                <w:vertAlign w:val="baseline"/>
                <w:lang w:eastAsia="zh-CN"/>
              </w:rPr>
              <w:t>、</w:t>
            </w:r>
            <w:r>
              <w:rPr>
                <w:rFonts w:hint="eastAsia"/>
                <w:vertAlign w:val="baseline"/>
                <w:lang w:val="en-US" w:eastAsia="zh-CN"/>
              </w:rPr>
              <w:t>BS 6807</w:t>
            </w:r>
          </w:p>
        </w:tc>
        <w:tc>
          <w:tcPr>
            <w:tcW w:w="3177" w:type="dxa"/>
            <w:tcBorders>
              <w:right w:val="nil"/>
            </w:tcBorders>
            <w:vAlign w:val="center"/>
          </w:tcPr>
          <w:p w14:paraId="6D4BA4BD">
            <w:pPr>
              <w:rPr>
                <w:rFonts w:hint="default" w:eastAsiaTheme="minorEastAsia"/>
                <w:vertAlign w:val="baseline"/>
                <w:lang w:val="en-US" w:eastAsia="zh-CN"/>
              </w:rPr>
            </w:pPr>
            <w:r>
              <w:rPr>
                <w:rFonts w:hint="default" w:eastAsiaTheme="minorEastAsia"/>
                <w:vertAlign w:val="baseline"/>
                <w:lang w:val="en-US" w:eastAsia="zh-CN"/>
              </w:rPr>
              <w:t>封闭式精神病房</w:t>
            </w:r>
            <w:r>
              <w:rPr>
                <w:rFonts w:hint="eastAsia"/>
                <w:vertAlign w:val="baseline"/>
                <w:lang w:val="en-US" w:eastAsia="zh-CN"/>
              </w:rPr>
              <w:t>、</w:t>
            </w:r>
            <w:r>
              <w:rPr>
                <w:rFonts w:hint="default" w:eastAsiaTheme="minorEastAsia"/>
                <w:vertAlign w:val="baseline"/>
                <w:lang w:val="en-US" w:eastAsia="zh-CN"/>
              </w:rPr>
              <w:t>监狱牢房</w:t>
            </w:r>
          </w:p>
        </w:tc>
      </w:tr>
    </w:tbl>
    <w:p w14:paraId="0F6E31E7">
      <w:pPr>
        <w:jc w:val="both"/>
        <w:rPr>
          <w:rFonts w:hint="eastAsia"/>
          <w:b w:val="0"/>
          <w:bCs w:val="0"/>
          <w:lang w:val="en-US" w:eastAsia="zh-CN"/>
        </w:rPr>
      </w:pPr>
    </w:p>
    <w:p w14:paraId="298C9608">
      <w:pPr>
        <w:jc w:val="both"/>
        <w:rPr>
          <w:rFonts w:hint="eastAsia"/>
          <w:b w:val="0"/>
          <w:bCs w:val="0"/>
          <w:lang w:val="en-US" w:eastAsia="zh-CN"/>
        </w:rPr>
      </w:pPr>
      <w:r>
        <w:rPr>
          <w:rFonts w:hint="eastAsia"/>
          <w:b w:val="0"/>
          <w:bCs w:val="0"/>
          <w:lang w:val="en-US" w:eastAsia="zh-CN"/>
        </w:rPr>
        <w:t>根据上表建议：</w:t>
      </w:r>
    </w:p>
    <w:p w14:paraId="59668835">
      <w:pPr>
        <w:jc w:val="both"/>
        <w:rPr>
          <w:rFonts w:hint="default"/>
          <w:b w:val="0"/>
          <w:bCs w:val="0"/>
          <w:lang w:val="en-US" w:eastAsia="zh-CN"/>
        </w:rPr>
      </w:pPr>
      <w:r>
        <w:rPr>
          <w:rFonts w:hint="default"/>
          <w:b w:val="0"/>
          <w:bCs w:val="0"/>
          <w:lang w:val="en-US" w:eastAsia="zh-CN"/>
        </w:rPr>
        <w:t xml:space="preserve">• 家庭用途：选择低危险级别，满足常规防火要求 </w:t>
      </w:r>
    </w:p>
    <w:p w14:paraId="6D0D3AF7">
      <w:pPr>
        <w:jc w:val="both"/>
        <w:rPr>
          <w:rFonts w:hint="default"/>
          <w:b w:val="0"/>
          <w:bCs w:val="0"/>
          <w:lang w:val="en-US" w:eastAsia="zh-CN"/>
        </w:rPr>
      </w:pPr>
      <w:r>
        <w:rPr>
          <w:rFonts w:hint="default"/>
          <w:b w:val="0"/>
          <w:bCs w:val="0"/>
          <w:lang w:val="en-US" w:eastAsia="zh-CN"/>
        </w:rPr>
        <w:t xml:space="preserve">• 酒店/公共场所：强制选择中危险级别，因涉及公共安全法规 </w:t>
      </w:r>
    </w:p>
    <w:p w14:paraId="1C991C1A">
      <w:pPr>
        <w:jc w:val="both"/>
        <w:rPr>
          <w:rFonts w:hint="default"/>
          <w:b w:val="0"/>
          <w:bCs w:val="0"/>
          <w:lang w:val="en-US" w:eastAsia="zh-CN"/>
        </w:rPr>
      </w:pPr>
      <w:r>
        <w:rPr>
          <w:rFonts w:hint="default"/>
          <w:b w:val="0"/>
          <w:bCs w:val="0"/>
          <w:lang w:val="en-US" w:eastAsia="zh-CN"/>
        </w:rPr>
        <w:t>• 医院/监狱：需根据具体区域选择高或极高危险级别，例如医院病房需通过高危险测试</w:t>
      </w:r>
    </w:p>
    <w:p w14:paraId="4838C4FE">
      <w:pPr>
        <w:jc w:val="both"/>
        <w:rPr>
          <w:rFonts w:hint="default"/>
          <w:b w:val="0"/>
          <w:bCs w:val="0"/>
          <w:lang w:val="en-US" w:eastAsia="zh-CN"/>
        </w:rPr>
      </w:pPr>
    </w:p>
    <w:p w14:paraId="59459CE3">
      <w:pPr>
        <w:jc w:val="both"/>
        <w:rPr>
          <w:rFonts w:hint="eastAsia"/>
          <w:b w:val="0"/>
          <w:bCs w:val="0"/>
          <w:lang w:val="en-US" w:eastAsia="zh-CN"/>
        </w:rPr>
      </w:pPr>
      <w:r>
        <w:rPr>
          <w:rFonts w:hint="eastAsia"/>
          <w:b w:val="0"/>
          <w:bCs w:val="0"/>
          <w:lang w:val="en-US" w:eastAsia="zh-CN"/>
        </w:rPr>
        <w:t>另外需要注意的是交通工具上的软垫座椅本标准不适用。</w:t>
      </w:r>
    </w:p>
    <w:p w14:paraId="2689CF10">
      <w:pPr>
        <w:jc w:val="both"/>
        <w:rPr>
          <w:rFonts w:hint="eastAsia"/>
          <w:b w:val="0"/>
          <w:bCs w:val="0"/>
          <w:lang w:val="en-US" w:eastAsia="zh-CN"/>
        </w:rPr>
      </w:pPr>
    </w:p>
    <w:p w14:paraId="7F8BCE32">
      <w:pPr>
        <w:jc w:val="both"/>
        <w:rPr>
          <w:rFonts w:hint="eastAsia"/>
          <w:b/>
          <w:bCs/>
          <w:lang w:val="en-US" w:eastAsia="zh-CN"/>
        </w:rPr>
      </w:pPr>
      <w:r>
        <w:rPr>
          <w:rFonts w:hint="default"/>
          <w:b/>
          <w:bCs/>
          <w:lang w:val="en-US" w:eastAsia="zh-CN"/>
        </w:rPr>
        <w:t>火源类型与测试强</w:t>
      </w:r>
      <w:r>
        <w:rPr>
          <w:rFonts w:hint="eastAsia"/>
          <w:b/>
          <w:bCs/>
          <w:lang w:val="en-US" w:eastAsia="zh-CN"/>
        </w:rPr>
        <w:t>度：</w:t>
      </w:r>
    </w:p>
    <w:p w14:paraId="0784D1CC">
      <w:pPr>
        <w:jc w:val="both"/>
        <w:rPr>
          <w:rFonts w:hint="default"/>
          <w:b w:val="0"/>
          <w:bCs w:val="0"/>
          <w:lang w:val="en-US" w:eastAsia="zh-CN"/>
        </w:rPr>
      </w:pPr>
      <w:r>
        <w:rPr>
          <w:rFonts w:hint="default"/>
          <w:b w:val="0"/>
          <w:bCs w:val="0"/>
          <w:lang w:val="en-US" w:eastAsia="zh-CN"/>
        </w:rPr>
        <w:t>不同的危险级别，测试标准不同，点火源不同</w:t>
      </w:r>
    </w:p>
    <w:p w14:paraId="027CB8EF">
      <w:pPr>
        <w:jc w:val="both"/>
        <w:rPr>
          <w:rFonts w:hint="default"/>
          <w:b w:val="0"/>
          <w:bCs w:val="0"/>
          <w:lang w:val="en-US" w:eastAsia="zh-CN"/>
        </w:rPr>
      </w:pPr>
      <w:r>
        <w:rPr>
          <w:rFonts w:hint="default"/>
          <w:b w:val="0"/>
          <w:bCs w:val="0"/>
          <w:lang w:val="en-US" w:eastAsia="zh-CN"/>
        </w:rPr>
        <w:t>• 低危险级别火源：阴燃香烟（BS EN 597-1）</w:t>
      </w:r>
      <w:r>
        <w:rPr>
          <w:rFonts w:hint="eastAsia"/>
          <w:b w:val="0"/>
          <w:bCs w:val="0"/>
          <w:lang w:val="en-US" w:eastAsia="zh-CN"/>
        </w:rPr>
        <w:t>、</w:t>
      </w:r>
      <w:r>
        <w:rPr>
          <w:rFonts w:hint="default"/>
          <w:b w:val="0"/>
          <w:bCs w:val="0"/>
          <w:lang w:val="en-US" w:eastAsia="zh-CN"/>
        </w:rPr>
        <w:t>模拟火柴火焰（BS EN 597-2）</w:t>
      </w:r>
    </w:p>
    <w:p w14:paraId="12228C69">
      <w:pPr>
        <w:jc w:val="both"/>
        <w:rPr>
          <w:rFonts w:hint="default"/>
          <w:b w:val="0"/>
          <w:bCs w:val="0"/>
          <w:lang w:val="en-US" w:eastAsia="zh-CN"/>
        </w:rPr>
      </w:pPr>
      <w:r>
        <w:rPr>
          <w:rFonts w:hint="default"/>
          <w:b w:val="0"/>
          <w:bCs w:val="0"/>
          <w:lang w:val="en-US" w:eastAsia="zh-CN"/>
        </w:rPr>
        <w:t>• 中危险级别火源：低危险的所有火源</w:t>
      </w:r>
      <w:r>
        <w:rPr>
          <w:rFonts w:hint="eastAsia"/>
          <w:b w:val="0"/>
          <w:bCs w:val="0"/>
          <w:lang w:val="en-US" w:eastAsia="zh-CN"/>
        </w:rPr>
        <w:t>、</w:t>
      </w:r>
      <w:r>
        <w:rPr>
          <w:rFonts w:hint="default"/>
          <w:b w:val="0"/>
          <w:bCs w:val="0"/>
          <w:lang w:val="en-US" w:eastAsia="zh-CN"/>
        </w:rPr>
        <w:t>松木火种5</w:t>
      </w:r>
    </w:p>
    <w:p w14:paraId="2082CB72">
      <w:pPr>
        <w:jc w:val="both"/>
        <w:rPr>
          <w:rFonts w:hint="default"/>
          <w:b w:val="0"/>
          <w:bCs w:val="0"/>
          <w:lang w:val="en-US" w:eastAsia="zh-CN"/>
        </w:rPr>
      </w:pPr>
      <w:r>
        <w:rPr>
          <w:rFonts w:hint="default"/>
          <w:b w:val="0"/>
          <w:bCs w:val="0"/>
          <w:lang w:val="en-US" w:eastAsia="zh-CN"/>
        </w:rPr>
        <w:t>• 高危险级别火源：低危险的所有火源</w:t>
      </w:r>
      <w:r>
        <w:rPr>
          <w:rFonts w:hint="eastAsia"/>
          <w:b w:val="0"/>
          <w:bCs w:val="0"/>
          <w:lang w:val="en-US" w:eastAsia="zh-CN"/>
        </w:rPr>
        <w:t>、</w:t>
      </w:r>
      <w:r>
        <w:rPr>
          <w:rFonts w:hint="default"/>
          <w:b w:val="0"/>
          <w:bCs w:val="0"/>
          <w:lang w:val="en-US" w:eastAsia="zh-CN"/>
        </w:rPr>
        <w:t>松木火种7</w:t>
      </w:r>
    </w:p>
    <w:p w14:paraId="410178FF">
      <w:pPr>
        <w:jc w:val="both"/>
        <w:rPr>
          <w:rFonts w:hint="default"/>
          <w:b w:val="0"/>
          <w:bCs w:val="0"/>
          <w:lang w:val="en-US" w:eastAsia="zh-CN"/>
        </w:rPr>
      </w:pPr>
      <w:r>
        <w:rPr>
          <w:rFonts w:hint="default"/>
          <w:b w:val="0"/>
          <w:bCs w:val="0"/>
          <w:lang w:val="en-US" w:eastAsia="zh-CN"/>
        </w:rPr>
        <w:t>• 极高危险级别火源：高危险的所有火源</w:t>
      </w:r>
      <w:r>
        <w:rPr>
          <w:rFonts w:hint="eastAsia"/>
          <w:b w:val="0"/>
          <w:bCs w:val="0"/>
          <w:lang w:val="en-US" w:eastAsia="zh-CN"/>
        </w:rPr>
        <w:t>、</w:t>
      </w:r>
      <w:r>
        <w:rPr>
          <w:rFonts w:hint="default"/>
          <w:b w:val="0"/>
          <w:bCs w:val="0"/>
          <w:lang w:val="en-US" w:eastAsia="zh-CN"/>
        </w:rPr>
        <w:t>附加火源</w:t>
      </w:r>
    </w:p>
    <w:p w14:paraId="769F7252">
      <w:pPr>
        <w:rPr>
          <w:rFonts w:hint="eastAsia" w:ascii="Arial" w:hAnsi="Arial" w:cs="Arial"/>
          <w:szCs w:val="21"/>
        </w:rPr>
      </w:pPr>
    </w:p>
    <w:p w14:paraId="1AA93304">
      <w:pPr>
        <w:rPr>
          <w:rFonts w:ascii="Arial" w:hAnsi="Arial" w:cs="Arial"/>
          <w:szCs w:val="21"/>
        </w:rPr>
      </w:pPr>
    </w:p>
    <w:p w14:paraId="42C37E77">
      <w:pPr>
        <w:rPr>
          <w:rFonts w:ascii="Arial" w:hAnsi="Arial" w:cs="Arial"/>
          <w:szCs w:val="21"/>
        </w:rPr>
      </w:pPr>
    </w:p>
    <w:p w14:paraId="2BDA3F01">
      <w:pPr>
        <w:rPr>
          <w:rFonts w:ascii="Arial" w:hAnsi="Arial" w:cs="Arial"/>
          <w:szCs w:val="21"/>
        </w:rPr>
      </w:pPr>
    </w:p>
    <w:p w14:paraId="3AEFD149">
      <w:pPr>
        <w:rPr>
          <w:rFonts w:ascii="Arial" w:hAnsi="Arial" w:cs="Arial"/>
          <w:szCs w:val="21"/>
        </w:rPr>
      </w:pPr>
    </w:p>
    <w:p w14:paraId="5E692DCE">
      <w:pPr>
        <w:rPr>
          <w:rFonts w:ascii="Arial" w:hAnsi="Arial" w:cs="Arial"/>
          <w:szCs w:val="21"/>
        </w:rPr>
      </w:pPr>
    </w:p>
    <w:p w14:paraId="55DD7006">
      <w:pPr>
        <w:rPr>
          <w:rFonts w:ascii="Arial" w:hAnsi="Arial" w:cs="Arial"/>
          <w:szCs w:val="21"/>
        </w:rPr>
      </w:pPr>
      <w:bookmarkStart w:id="0" w:name="_GoBack"/>
      <w:bookmarkEnd w:id="0"/>
    </w:p>
    <w:p w14:paraId="5B83398B">
      <w:pPr>
        <w:jc w:val="both"/>
        <w:rPr>
          <w:rFonts w:hint="default"/>
          <w:b w:val="0"/>
          <w:bCs w:val="0"/>
          <w:lang w:val="en-US" w:eastAsia="zh-CN"/>
        </w:rPr>
      </w:pPr>
    </w:p>
    <w:p w14:paraId="12C87370">
      <w:pPr>
        <w:jc w:val="both"/>
        <w:rPr>
          <w:rFonts w:hint="default"/>
          <w:b w:val="0"/>
          <w:bCs w:val="0"/>
          <w:lang w:val="en-US" w:eastAsia="zh-CN"/>
        </w:rPr>
      </w:pPr>
    </w:p>
    <w:p w14:paraId="03E78A85">
      <w:pPr>
        <w:jc w:val="both"/>
        <w:rPr>
          <w:rFonts w:hint="default"/>
          <w:b w:val="0"/>
          <w:bCs w:val="0"/>
          <w:lang w:val="en-US" w:eastAsia="zh-CN"/>
        </w:rPr>
      </w:pPr>
    </w:p>
    <w:p w14:paraId="535822DA">
      <w:pPr>
        <w:jc w:val="both"/>
        <w:rPr>
          <w:rFonts w:hint="default"/>
          <w:b w:val="0"/>
          <w:bCs w:val="0"/>
          <w:lang w:val="en-US" w:eastAsia="zh-CN"/>
        </w:rPr>
      </w:pPr>
    </w:p>
    <w:p w14:paraId="59917913">
      <w:pPr>
        <w:jc w:val="both"/>
        <w:rPr>
          <w:rFonts w:hint="default"/>
          <w:b w:val="0"/>
          <w:bCs w:val="0"/>
          <w:lang w:val="en-US" w:eastAsia="zh-CN"/>
        </w:rPr>
      </w:pPr>
    </w:p>
    <w:p w14:paraId="2584EBA4">
      <w:pPr>
        <w:jc w:val="both"/>
        <w:rPr>
          <w:rFonts w:hint="default"/>
          <w:b w:val="0"/>
          <w:bCs w:val="0"/>
          <w:lang w:val="en-US" w:eastAsia="zh-CN"/>
        </w:rPr>
      </w:pPr>
    </w:p>
    <w:p w14:paraId="728325C1">
      <w:pPr>
        <w:jc w:val="center"/>
        <w:rPr>
          <w:rFonts w:hint="default" w:ascii="Arial" w:hAnsi="Arial" w:cs="Arial"/>
          <w:b w:val="0"/>
          <w:bCs w:val="0"/>
          <w:lang w:val="en-US" w:eastAsia="zh-CN"/>
        </w:rPr>
      </w:pPr>
      <w:r>
        <w:rPr>
          <w:rFonts w:hint="default" w:ascii="Arial" w:hAnsi="Arial" w:cs="Arial"/>
          <w:b w:val="0"/>
          <w:bCs w:val="0"/>
          <w:lang w:val="en-US" w:eastAsia="zh-CN"/>
        </w:rPr>
        <w:t>What hazard level test should be selected for mattress application to BS 7177?</w:t>
      </w:r>
    </w:p>
    <w:p w14:paraId="4C497C93">
      <w:pPr>
        <w:jc w:val="center"/>
        <w:rPr>
          <w:rFonts w:hint="default" w:ascii="Arial" w:hAnsi="Arial" w:cs="Arial"/>
          <w:b w:val="0"/>
          <w:bCs w:val="0"/>
          <w:lang w:val="en-US" w:eastAsia="zh-CN"/>
        </w:rPr>
      </w:pPr>
    </w:p>
    <w:p w14:paraId="3D8A57A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Arial" w:hAnsi="Arial" w:cs="Arial"/>
          <w:b w:val="0"/>
          <w:bCs w:val="0"/>
          <w:lang w:val="en-US" w:eastAsia="zh-CN"/>
        </w:rPr>
      </w:pPr>
      <w:r>
        <w:rPr>
          <w:rFonts w:hint="default" w:ascii="Arial" w:hAnsi="Arial" w:cs="Arial"/>
          <w:b w:val="0"/>
          <w:bCs w:val="0"/>
          <w:lang w:val="en-US" w:eastAsia="zh-CN"/>
        </w:rPr>
        <w:t>BS 7177 is the UK's core standard for the flame retardancy of furniture such as mattresses and bed frames. Its core goal is to ensure the fire safety of products in specific usage scenarios through the classification of different hazard levels. According to the standard requirements, the test level of the mattress must select the corresponding hazard level according to its final use.</w:t>
      </w:r>
    </w:p>
    <w:tbl>
      <w:tblPr>
        <w:tblStyle w:val="4"/>
        <w:tblpPr w:leftFromText="180" w:rightFromText="180" w:vertAnchor="page" w:horzAnchor="page" w:tblpX="1910" w:tblpY="598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56"/>
        <w:gridCol w:w="2789"/>
        <w:gridCol w:w="3177"/>
      </w:tblGrid>
      <w:tr w14:paraId="17BCF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6" w:type="dxa"/>
            <w:tcBorders>
              <w:left w:val="nil"/>
            </w:tcBorders>
          </w:tcPr>
          <w:p w14:paraId="73662C22">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eastAsiaTheme="minorEastAsia"/>
                <w:vertAlign w:val="baseline"/>
                <w:lang w:val="en-US" w:eastAsia="zh-CN"/>
              </w:rPr>
            </w:pPr>
            <w:r>
              <w:rPr>
                <w:rFonts w:hint="eastAsia"/>
                <w:vertAlign w:val="baseline"/>
                <w:lang w:val="en-US" w:eastAsia="zh-CN"/>
              </w:rPr>
              <w:t>危险等级</w:t>
            </w:r>
          </w:p>
        </w:tc>
        <w:tc>
          <w:tcPr>
            <w:tcW w:w="2789" w:type="dxa"/>
          </w:tcPr>
          <w:p w14:paraId="5CB7D23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Theme="minorEastAsia"/>
                <w:vertAlign w:val="baseline"/>
                <w:lang w:val="en-US" w:eastAsia="zh-CN"/>
              </w:rPr>
            </w:pPr>
            <w:r>
              <w:rPr>
                <w:rFonts w:hint="eastAsia"/>
                <w:vertAlign w:val="baseline"/>
                <w:lang w:val="en-US" w:eastAsia="zh-CN"/>
              </w:rPr>
              <w:t>测试方法</w:t>
            </w:r>
          </w:p>
        </w:tc>
        <w:tc>
          <w:tcPr>
            <w:tcW w:w="3177" w:type="dxa"/>
            <w:tcBorders>
              <w:right w:val="nil"/>
            </w:tcBorders>
          </w:tcPr>
          <w:p w14:paraId="1B9FB1D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Theme="minorEastAsia"/>
                <w:vertAlign w:val="baseline"/>
                <w:lang w:val="en-US" w:eastAsia="zh-CN"/>
              </w:rPr>
            </w:pPr>
            <w:r>
              <w:rPr>
                <w:rFonts w:hint="eastAsia"/>
                <w:vertAlign w:val="baseline"/>
                <w:lang w:val="en-US" w:eastAsia="zh-CN"/>
              </w:rPr>
              <w:t>使用场景</w:t>
            </w:r>
          </w:p>
        </w:tc>
      </w:tr>
      <w:tr w14:paraId="54F1B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6" w:type="dxa"/>
            <w:tcBorders>
              <w:left w:val="nil"/>
            </w:tcBorders>
            <w:vAlign w:val="center"/>
          </w:tcPr>
          <w:p w14:paraId="164FD06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Theme="minorEastAsia"/>
                <w:vertAlign w:val="baseline"/>
                <w:lang w:val="en-US" w:eastAsia="zh-CN"/>
              </w:rPr>
            </w:pPr>
            <w:r>
              <w:rPr>
                <w:rFonts w:hint="eastAsia"/>
                <w:vertAlign w:val="baseline"/>
                <w:lang w:val="en-US" w:eastAsia="zh-CN"/>
              </w:rPr>
              <w:t>低危等级</w:t>
            </w:r>
          </w:p>
        </w:tc>
        <w:tc>
          <w:tcPr>
            <w:tcW w:w="2789" w:type="dxa"/>
            <w:vAlign w:val="center"/>
          </w:tcPr>
          <w:p w14:paraId="47DD5622">
            <w:pPr>
              <w:keepNext w:val="0"/>
              <w:keepLines w:val="0"/>
              <w:pageBreakBefore w:val="0"/>
              <w:widowControl w:val="0"/>
              <w:kinsoku/>
              <w:wordWrap/>
              <w:overflowPunct/>
              <w:topLinePunct w:val="0"/>
              <w:autoSpaceDE/>
              <w:autoSpaceDN/>
              <w:bidi w:val="0"/>
              <w:adjustRightInd/>
              <w:snapToGrid/>
              <w:spacing w:line="360" w:lineRule="auto"/>
              <w:textAlignment w:val="auto"/>
              <w:rPr>
                <w:vertAlign w:val="baseline"/>
              </w:rPr>
            </w:pPr>
            <w:r>
              <w:rPr>
                <w:rFonts w:hint="eastAsia"/>
                <w:vertAlign w:val="baseline"/>
              </w:rPr>
              <w:t xml:space="preserve">BS EN </w:t>
            </w:r>
            <w:r>
              <w:rPr>
                <w:rFonts w:hint="eastAsia"/>
                <w:vertAlign w:val="baseline"/>
                <w:lang w:val="en-US" w:eastAsia="zh-CN"/>
              </w:rPr>
              <w:t>597-1</w:t>
            </w:r>
            <w:r>
              <w:rPr>
                <w:rFonts w:hint="eastAsia"/>
                <w:vertAlign w:val="baseline"/>
              </w:rPr>
              <w:t xml:space="preserve">、BS EN </w:t>
            </w:r>
            <w:r>
              <w:rPr>
                <w:rFonts w:hint="eastAsia"/>
                <w:vertAlign w:val="baseline"/>
                <w:lang w:val="en-US" w:eastAsia="zh-CN"/>
              </w:rPr>
              <w:t>597</w:t>
            </w:r>
            <w:r>
              <w:rPr>
                <w:rFonts w:hint="eastAsia"/>
                <w:vertAlign w:val="baseline"/>
              </w:rPr>
              <w:t>-2</w:t>
            </w:r>
          </w:p>
        </w:tc>
        <w:tc>
          <w:tcPr>
            <w:tcW w:w="3177" w:type="dxa"/>
            <w:tcBorders>
              <w:right w:val="nil"/>
            </w:tcBorders>
            <w:vAlign w:val="center"/>
          </w:tcPr>
          <w:p w14:paraId="6EBDC694">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eastAsiaTheme="minorEastAsia"/>
                <w:vertAlign w:val="baseline"/>
                <w:lang w:val="en-US" w:eastAsia="zh-CN"/>
              </w:rPr>
            </w:pPr>
            <w:r>
              <w:rPr>
                <w:rFonts w:hint="eastAsia"/>
                <w:vertAlign w:val="baseline"/>
                <w:lang w:val="en-US" w:eastAsia="zh-CN"/>
              </w:rPr>
              <w:t>家庭住宅（（包括非机动大篷车）</w:t>
            </w:r>
          </w:p>
        </w:tc>
      </w:tr>
      <w:tr w14:paraId="347DF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6" w:type="dxa"/>
            <w:tcBorders>
              <w:left w:val="nil"/>
            </w:tcBorders>
            <w:vAlign w:val="center"/>
          </w:tcPr>
          <w:p w14:paraId="371AE0D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Theme="minorEastAsia"/>
                <w:vertAlign w:val="baseline"/>
                <w:lang w:val="en-US" w:eastAsia="zh-CN"/>
              </w:rPr>
            </w:pPr>
            <w:r>
              <w:rPr>
                <w:rFonts w:hint="eastAsia"/>
                <w:vertAlign w:val="baseline"/>
                <w:lang w:val="en-US" w:eastAsia="zh-CN"/>
              </w:rPr>
              <w:t>中危等级</w:t>
            </w:r>
          </w:p>
        </w:tc>
        <w:tc>
          <w:tcPr>
            <w:tcW w:w="2789" w:type="dxa"/>
            <w:vAlign w:val="center"/>
          </w:tcPr>
          <w:p w14:paraId="47C9CD90">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eastAsiaTheme="minorEastAsia"/>
                <w:vertAlign w:val="baseline"/>
                <w:lang w:val="en-US" w:eastAsia="zh-CN"/>
              </w:rPr>
            </w:pPr>
            <w:r>
              <w:rPr>
                <w:rFonts w:hint="eastAsia"/>
                <w:vertAlign w:val="baseline"/>
              </w:rPr>
              <w:t xml:space="preserve">BS EN </w:t>
            </w:r>
            <w:r>
              <w:rPr>
                <w:rFonts w:hint="eastAsia"/>
                <w:vertAlign w:val="baseline"/>
                <w:lang w:val="en-US" w:eastAsia="zh-CN"/>
              </w:rPr>
              <w:t>597-1</w:t>
            </w:r>
            <w:r>
              <w:rPr>
                <w:rFonts w:hint="eastAsia"/>
                <w:vertAlign w:val="baseline"/>
              </w:rPr>
              <w:t xml:space="preserve">、BS EN </w:t>
            </w:r>
            <w:r>
              <w:rPr>
                <w:rFonts w:hint="eastAsia"/>
                <w:vertAlign w:val="baseline"/>
                <w:lang w:val="en-US" w:eastAsia="zh-CN"/>
              </w:rPr>
              <w:t>597</w:t>
            </w:r>
            <w:r>
              <w:rPr>
                <w:rFonts w:hint="eastAsia"/>
                <w:vertAlign w:val="baseline"/>
              </w:rPr>
              <w:t>-2</w:t>
            </w:r>
            <w:r>
              <w:rPr>
                <w:rFonts w:hint="eastAsia"/>
                <w:vertAlign w:val="baseline"/>
                <w:lang w:eastAsia="zh-CN"/>
              </w:rPr>
              <w:t>、</w:t>
            </w:r>
            <w:r>
              <w:rPr>
                <w:rFonts w:hint="eastAsia"/>
                <w:vertAlign w:val="baseline"/>
                <w:lang w:val="en-US" w:eastAsia="zh-CN"/>
              </w:rPr>
              <w:t>BS 6807</w:t>
            </w:r>
          </w:p>
        </w:tc>
        <w:tc>
          <w:tcPr>
            <w:tcW w:w="3177" w:type="dxa"/>
            <w:tcBorders>
              <w:right w:val="nil"/>
            </w:tcBorders>
            <w:vAlign w:val="center"/>
          </w:tcPr>
          <w:p w14:paraId="38FADEEB">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eastAsiaTheme="minorEastAsia"/>
                <w:vertAlign w:val="baseline"/>
                <w:lang w:val="en-US" w:eastAsia="zh-CN"/>
              </w:rPr>
            </w:pPr>
            <w:r>
              <w:rPr>
                <w:rFonts w:hint="default" w:eastAsiaTheme="minorEastAsia"/>
                <w:vertAlign w:val="baseline"/>
                <w:lang w:val="en-US" w:eastAsia="zh-CN"/>
              </w:rPr>
              <w:t>寄宿学校</w:t>
            </w:r>
            <w:r>
              <w:rPr>
                <w:rFonts w:hint="eastAsia"/>
                <w:vertAlign w:val="baseline"/>
                <w:lang w:val="en-US" w:eastAsia="zh-CN"/>
              </w:rPr>
              <w:t>、</w:t>
            </w:r>
            <w:r>
              <w:rPr>
                <w:rFonts w:hint="default" w:eastAsiaTheme="minorEastAsia"/>
                <w:vertAlign w:val="baseline"/>
                <w:lang w:val="en-US" w:eastAsia="zh-CN"/>
              </w:rPr>
              <w:t>日间中心</w:t>
            </w:r>
            <w:r>
              <w:rPr>
                <w:rFonts w:hint="eastAsia"/>
                <w:vertAlign w:val="baseline"/>
                <w:lang w:val="en-US" w:eastAsia="zh-CN"/>
              </w:rPr>
              <w:t>、</w:t>
            </w:r>
            <w:r>
              <w:rPr>
                <w:rFonts w:hint="default" w:eastAsiaTheme="minorEastAsia"/>
                <w:vertAlign w:val="baseline"/>
                <w:lang w:val="en-US" w:eastAsia="zh-CN"/>
              </w:rPr>
              <w:t>大学和学院宿舍</w:t>
            </w:r>
            <w:r>
              <w:rPr>
                <w:rFonts w:hint="eastAsia"/>
                <w:vertAlign w:val="baseline"/>
                <w:lang w:val="en-US" w:eastAsia="zh-CN"/>
              </w:rPr>
              <w:t>、</w:t>
            </w:r>
            <w:r>
              <w:rPr>
                <w:rFonts w:hint="default" w:eastAsiaTheme="minorEastAsia"/>
                <w:vertAlign w:val="baseline"/>
                <w:lang w:val="en-US" w:eastAsia="zh-CN"/>
              </w:rPr>
              <w:t>度假营小屋</w:t>
            </w:r>
            <w:r>
              <w:rPr>
                <w:rFonts w:hint="eastAsia"/>
                <w:vertAlign w:val="baseline"/>
                <w:lang w:val="en-US" w:eastAsia="zh-CN"/>
              </w:rPr>
              <w:t>、</w:t>
            </w:r>
            <w:r>
              <w:rPr>
                <w:rFonts w:hint="default" w:eastAsiaTheme="minorEastAsia"/>
                <w:vertAlign w:val="baseline"/>
                <w:lang w:val="en-US" w:eastAsia="zh-CN"/>
              </w:rPr>
              <w:t>医院</w:t>
            </w:r>
            <w:r>
              <w:rPr>
                <w:rFonts w:hint="eastAsia"/>
                <w:vertAlign w:val="baseline"/>
                <w:lang w:val="en-US" w:eastAsia="zh-CN"/>
              </w:rPr>
              <w:t>、</w:t>
            </w:r>
            <w:r>
              <w:rPr>
                <w:rFonts w:hint="default" w:eastAsiaTheme="minorEastAsia"/>
                <w:vertAlign w:val="baseline"/>
                <w:lang w:val="en-US" w:eastAsia="zh-CN"/>
              </w:rPr>
              <w:t>旅馆</w:t>
            </w:r>
            <w:r>
              <w:rPr>
                <w:rFonts w:hint="eastAsia"/>
                <w:vertAlign w:val="baseline"/>
                <w:lang w:val="en-US" w:eastAsia="zh-CN"/>
              </w:rPr>
              <w:t>、</w:t>
            </w:r>
            <w:r>
              <w:rPr>
                <w:rFonts w:hint="default" w:eastAsiaTheme="minorEastAsia"/>
                <w:vertAlign w:val="baseline"/>
                <w:lang w:val="en-US" w:eastAsia="zh-CN"/>
              </w:rPr>
              <w:t>酒店</w:t>
            </w:r>
            <w:r>
              <w:rPr>
                <w:rFonts w:hint="eastAsia"/>
                <w:vertAlign w:val="baseline"/>
                <w:lang w:val="en-US" w:eastAsia="zh-CN"/>
              </w:rPr>
              <w:t>、</w:t>
            </w:r>
            <w:r>
              <w:rPr>
                <w:rFonts w:hint="default" w:eastAsiaTheme="minorEastAsia"/>
                <w:vertAlign w:val="baseline"/>
                <w:lang w:val="en-US" w:eastAsia="zh-CN"/>
              </w:rPr>
              <w:t>养老院</w:t>
            </w:r>
            <w:r>
              <w:rPr>
                <w:rFonts w:hint="eastAsia"/>
                <w:vertAlign w:val="baseline"/>
                <w:lang w:val="en-US" w:eastAsia="zh-CN"/>
              </w:rPr>
              <w:t>、</w:t>
            </w:r>
            <w:r>
              <w:rPr>
                <w:rFonts w:hint="default" w:eastAsiaTheme="minorEastAsia"/>
                <w:vertAlign w:val="baseline"/>
                <w:lang w:val="en-US" w:eastAsia="zh-CN"/>
              </w:rPr>
              <w:t>寄宿学校</w:t>
            </w:r>
            <w:r>
              <w:rPr>
                <w:rFonts w:hint="eastAsia"/>
                <w:vertAlign w:val="baseline"/>
                <w:lang w:val="en-US" w:eastAsia="zh-CN"/>
              </w:rPr>
              <w:t>、</w:t>
            </w:r>
            <w:r>
              <w:rPr>
                <w:rFonts w:hint="default" w:eastAsiaTheme="minorEastAsia"/>
                <w:vertAlign w:val="baseline"/>
                <w:lang w:val="en-US" w:eastAsia="zh-CN"/>
              </w:rPr>
              <w:t>服务食堂</w:t>
            </w:r>
          </w:p>
        </w:tc>
      </w:tr>
      <w:tr w14:paraId="35F6B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6" w:type="dxa"/>
            <w:tcBorders>
              <w:left w:val="nil"/>
            </w:tcBorders>
            <w:vAlign w:val="center"/>
          </w:tcPr>
          <w:p w14:paraId="7D374FC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Theme="minorEastAsia"/>
                <w:vertAlign w:val="baseline"/>
                <w:lang w:val="en-US" w:eastAsia="zh-CN"/>
              </w:rPr>
            </w:pPr>
            <w:r>
              <w:rPr>
                <w:rFonts w:hint="eastAsia"/>
                <w:vertAlign w:val="baseline"/>
                <w:lang w:val="en-US" w:eastAsia="zh-CN"/>
              </w:rPr>
              <w:t>高危等级</w:t>
            </w:r>
          </w:p>
        </w:tc>
        <w:tc>
          <w:tcPr>
            <w:tcW w:w="2789" w:type="dxa"/>
            <w:vAlign w:val="center"/>
          </w:tcPr>
          <w:p w14:paraId="420DFA57">
            <w:pPr>
              <w:keepNext w:val="0"/>
              <w:keepLines w:val="0"/>
              <w:pageBreakBefore w:val="0"/>
              <w:widowControl w:val="0"/>
              <w:kinsoku/>
              <w:wordWrap/>
              <w:overflowPunct/>
              <w:topLinePunct w:val="0"/>
              <w:autoSpaceDE/>
              <w:autoSpaceDN/>
              <w:bidi w:val="0"/>
              <w:adjustRightInd/>
              <w:snapToGrid/>
              <w:spacing w:line="360" w:lineRule="auto"/>
              <w:textAlignment w:val="auto"/>
              <w:rPr>
                <w:vertAlign w:val="baseline"/>
              </w:rPr>
            </w:pPr>
            <w:r>
              <w:rPr>
                <w:rFonts w:hint="eastAsia"/>
                <w:vertAlign w:val="baseline"/>
              </w:rPr>
              <w:t xml:space="preserve">BS EN </w:t>
            </w:r>
            <w:r>
              <w:rPr>
                <w:rFonts w:hint="eastAsia"/>
                <w:vertAlign w:val="baseline"/>
                <w:lang w:val="en-US" w:eastAsia="zh-CN"/>
              </w:rPr>
              <w:t>597-1</w:t>
            </w:r>
            <w:r>
              <w:rPr>
                <w:rFonts w:hint="eastAsia"/>
                <w:vertAlign w:val="baseline"/>
              </w:rPr>
              <w:t xml:space="preserve">、BS EN </w:t>
            </w:r>
            <w:r>
              <w:rPr>
                <w:rFonts w:hint="eastAsia"/>
                <w:vertAlign w:val="baseline"/>
                <w:lang w:val="en-US" w:eastAsia="zh-CN"/>
              </w:rPr>
              <w:t>597</w:t>
            </w:r>
            <w:r>
              <w:rPr>
                <w:rFonts w:hint="eastAsia"/>
                <w:vertAlign w:val="baseline"/>
              </w:rPr>
              <w:t>-2</w:t>
            </w:r>
            <w:r>
              <w:rPr>
                <w:rFonts w:hint="eastAsia"/>
                <w:vertAlign w:val="baseline"/>
                <w:lang w:eastAsia="zh-CN"/>
              </w:rPr>
              <w:t>、</w:t>
            </w:r>
            <w:r>
              <w:rPr>
                <w:rFonts w:hint="eastAsia"/>
                <w:vertAlign w:val="baseline"/>
                <w:lang w:val="en-US" w:eastAsia="zh-CN"/>
              </w:rPr>
              <w:t>BS 6807</w:t>
            </w:r>
          </w:p>
        </w:tc>
        <w:tc>
          <w:tcPr>
            <w:tcW w:w="3177" w:type="dxa"/>
            <w:tcBorders>
              <w:right w:val="nil"/>
            </w:tcBorders>
            <w:vAlign w:val="center"/>
          </w:tcPr>
          <w:p w14:paraId="65BB495D">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eastAsiaTheme="minorEastAsia"/>
                <w:vertAlign w:val="baseline"/>
                <w:lang w:val="en-US" w:eastAsia="zh-CN"/>
              </w:rPr>
            </w:pPr>
            <w:r>
              <w:rPr>
                <w:rFonts w:hint="default" w:eastAsiaTheme="minorEastAsia"/>
                <w:vertAlign w:val="baseline"/>
                <w:lang w:val="en-US" w:eastAsia="zh-CN"/>
              </w:rPr>
              <w:t>某些医院病房</w:t>
            </w:r>
            <w:r>
              <w:rPr>
                <w:rFonts w:hint="eastAsia"/>
                <w:vertAlign w:val="baseline"/>
                <w:lang w:val="en-US" w:eastAsia="zh-CN"/>
              </w:rPr>
              <w:t>、</w:t>
            </w:r>
            <w:r>
              <w:rPr>
                <w:rFonts w:hint="default" w:eastAsiaTheme="minorEastAsia"/>
                <w:vertAlign w:val="baseline"/>
                <w:lang w:val="en-US" w:eastAsia="zh-CN"/>
              </w:rPr>
              <w:t>旅馆</w:t>
            </w:r>
            <w:r>
              <w:rPr>
                <w:rFonts w:hint="eastAsia"/>
                <w:vertAlign w:val="baseline"/>
                <w:lang w:val="en-US" w:eastAsia="zh-CN"/>
              </w:rPr>
              <w:t>、</w:t>
            </w:r>
            <w:r>
              <w:rPr>
                <w:rFonts w:hint="default" w:eastAsiaTheme="minorEastAsia"/>
                <w:vertAlign w:val="baseline"/>
                <w:lang w:val="en-US" w:eastAsia="zh-CN"/>
              </w:rPr>
              <w:t>酒店</w:t>
            </w:r>
            <w:r>
              <w:rPr>
                <w:rFonts w:hint="eastAsia"/>
                <w:vertAlign w:val="baseline"/>
                <w:lang w:val="en-US" w:eastAsia="zh-CN"/>
              </w:rPr>
              <w:t>、</w:t>
            </w:r>
            <w:r>
              <w:rPr>
                <w:rFonts w:hint="default" w:eastAsiaTheme="minorEastAsia"/>
                <w:vertAlign w:val="baseline"/>
                <w:lang w:val="en-US" w:eastAsia="zh-CN"/>
              </w:rPr>
              <w:t>海上设施</w:t>
            </w:r>
            <w:r>
              <w:rPr>
                <w:rFonts w:hint="eastAsia"/>
                <w:vertAlign w:val="baseline"/>
                <w:lang w:val="en-US" w:eastAsia="zh-CN"/>
              </w:rPr>
              <w:t>、</w:t>
            </w:r>
            <w:r>
              <w:rPr>
                <w:rFonts w:hint="default" w:eastAsiaTheme="minorEastAsia"/>
                <w:vertAlign w:val="baseline"/>
                <w:lang w:val="en-US" w:eastAsia="zh-CN"/>
              </w:rPr>
              <w:t>养老院</w:t>
            </w:r>
          </w:p>
        </w:tc>
      </w:tr>
      <w:tr w14:paraId="69ACA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56" w:type="dxa"/>
            <w:tcBorders>
              <w:left w:val="nil"/>
            </w:tcBorders>
            <w:vAlign w:val="center"/>
          </w:tcPr>
          <w:p w14:paraId="357A98B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eastAsiaTheme="minorEastAsia"/>
                <w:vertAlign w:val="baseline"/>
                <w:lang w:val="en-US" w:eastAsia="zh-CN"/>
              </w:rPr>
            </w:pPr>
            <w:r>
              <w:rPr>
                <w:rFonts w:hint="eastAsia"/>
                <w:vertAlign w:val="baseline"/>
                <w:lang w:val="en-US" w:eastAsia="zh-CN"/>
              </w:rPr>
              <w:t>极高等级</w:t>
            </w:r>
          </w:p>
        </w:tc>
        <w:tc>
          <w:tcPr>
            <w:tcW w:w="2789" w:type="dxa"/>
            <w:vAlign w:val="center"/>
          </w:tcPr>
          <w:p w14:paraId="7F33B17B">
            <w:pPr>
              <w:keepNext w:val="0"/>
              <w:keepLines w:val="0"/>
              <w:pageBreakBefore w:val="0"/>
              <w:widowControl w:val="0"/>
              <w:kinsoku/>
              <w:wordWrap/>
              <w:overflowPunct/>
              <w:topLinePunct w:val="0"/>
              <w:autoSpaceDE/>
              <w:autoSpaceDN/>
              <w:bidi w:val="0"/>
              <w:adjustRightInd/>
              <w:snapToGrid/>
              <w:spacing w:line="360" w:lineRule="auto"/>
              <w:textAlignment w:val="auto"/>
              <w:rPr>
                <w:vertAlign w:val="baseline"/>
              </w:rPr>
            </w:pPr>
            <w:r>
              <w:rPr>
                <w:rFonts w:hint="eastAsia"/>
                <w:vertAlign w:val="baseline"/>
              </w:rPr>
              <w:t xml:space="preserve">BS EN </w:t>
            </w:r>
            <w:r>
              <w:rPr>
                <w:rFonts w:hint="eastAsia"/>
                <w:vertAlign w:val="baseline"/>
                <w:lang w:val="en-US" w:eastAsia="zh-CN"/>
              </w:rPr>
              <w:t>597-1</w:t>
            </w:r>
            <w:r>
              <w:rPr>
                <w:rFonts w:hint="eastAsia"/>
                <w:vertAlign w:val="baseline"/>
              </w:rPr>
              <w:t xml:space="preserve">、BS EN </w:t>
            </w:r>
            <w:r>
              <w:rPr>
                <w:rFonts w:hint="eastAsia"/>
                <w:vertAlign w:val="baseline"/>
                <w:lang w:val="en-US" w:eastAsia="zh-CN"/>
              </w:rPr>
              <w:t>597</w:t>
            </w:r>
            <w:r>
              <w:rPr>
                <w:rFonts w:hint="eastAsia"/>
                <w:vertAlign w:val="baseline"/>
              </w:rPr>
              <w:t>-2</w:t>
            </w:r>
            <w:r>
              <w:rPr>
                <w:rFonts w:hint="eastAsia"/>
                <w:vertAlign w:val="baseline"/>
                <w:lang w:eastAsia="zh-CN"/>
              </w:rPr>
              <w:t>、</w:t>
            </w:r>
            <w:r>
              <w:rPr>
                <w:rFonts w:hint="eastAsia"/>
                <w:vertAlign w:val="baseline"/>
                <w:lang w:val="en-US" w:eastAsia="zh-CN"/>
              </w:rPr>
              <w:t>BS 6807</w:t>
            </w:r>
          </w:p>
        </w:tc>
        <w:tc>
          <w:tcPr>
            <w:tcW w:w="3177" w:type="dxa"/>
            <w:tcBorders>
              <w:right w:val="nil"/>
            </w:tcBorders>
            <w:vAlign w:val="center"/>
          </w:tcPr>
          <w:p w14:paraId="6973596B">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eastAsiaTheme="minorEastAsia"/>
                <w:vertAlign w:val="baseline"/>
                <w:lang w:val="en-US" w:eastAsia="zh-CN"/>
              </w:rPr>
            </w:pPr>
            <w:r>
              <w:rPr>
                <w:rFonts w:hint="default" w:eastAsiaTheme="minorEastAsia"/>
                <w:vertAlign w:val="baseline"/>
                <w:lang w:val="en-US" w:eastAsia="zh-CN"/>
              </w:rPr>
              <w:t>封闭式精神病房</w:t>
            </w:r>
            <w:r>
              <w:rPr>
                <w:rFonts w:hint="eastAsia"/>
                <w:vertAlign w:val="baseline"/>
                <w:lang w:val="en-US" w:eastAsia="zh-CN"/>
              </w:rPr>
              <w:t>、</w:t>
            </w:r>
            <w:r>
              <w:rPr>
                <w:rFonts w:hint="default" w:eastAsiaTheme="minorEastAsia"/>
                <w:vertAlign w:val="baseline"/>
                <w:lang w:val="en-US" w:eastAsia="zh-CN"/>
              </w:rPr>
              <w:t>监狱牢房</w:t>
            </w:r>
          </w:p>
        </w:tc>
      </w:tr>
    </w:tbl>
    <w:p w14:paraId="253C547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Arial" w:hAnsi="Arial" w:cs="Arial"/>
          <w:b w:val="0"/>
          <w:bCs w:val="0"/>
          <w:lang w:val="en-US" w:eastAsia="zh-CN"/>
        </w:rPr>
      </w:pPr>
    </w:p>
    <w:p w14:paraId="7697F7C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Arial" w:hAnsi="Arial" w:cs="Arial"/>
          <w:b w:val="0"/>
          <w:bCs w:val="0"/>
          <w:lang w:val="en-US" w:eastAsia="zh-CN"/>
        </w:rPr>
      </w:pPr>
      <w:r>
        <w:rPr>
          <w:rFonts w:hint="default" w:ascii="Arial" w:hAnsi="Arial" w:cs="Arial"/>
          <w:b w:val="0"/>
          <w:bCs w:val="0"/>
          <w:lang w:val="en-US" w:eastAsia="zh-CN"/>
        </w:rPr>
        <w:t>The standard divides the risk level into four levels: low risk, medium risk, high risk and extremely high risk:</w:t>
      </w:r>
    </w:p>
    <w:p w14:paraId="6DD65DE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Arial" w:hAnsi="Arial" w:cs="Arial"/>
          <w:b w:val="0"/>
          <w:bCs w:val="0"/>
          <w:lang w:val="en-US" w:eastAsia="zh-CN"/>
        </w:rPr>
      </w:pPr>
    </w:p>
    <w:p w14:paraId="0E75839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Arial" w:hAnsi="Arial" w:cs="Arial"/>
          <w:b w:val="0"/>
          <w:bCs w:val="0"/>
          <w:lang w:val="en-US" w:eastAsia="zh-CN"/>
        </w:rPr>
      </w:pPr>
      <w:r>
        <w:rPr>
          <w:rFonts w:hint="default" w:ascii="Arial" w:hAnsi="Arial" w:cs="Arial"/>
          <w:b w:val="0"/>
          <w:bCs w:val="0"/>
          <w:lang w:val="en-US" w:eastAsia="zh-CN"/>
        </w:rPr>
        <w:t>According to the above table, it is recommended that:</w:t>
      </w:r>
    </w:p>
    <w:p w14:paraId="44BC3BB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Arial" w:hAnsi="Arial" w:cs="Arial"/>
          <w:b w:val="0"/>
          <w:bCs w:val="0"/>
          <w:lang w:val="en-US" w:eastAsia="zh-CN"/>
        </w:rPr>
      </w:pPr>
      <w:r>
        <w:rPr>
          <w:rFonts w:hint="default" w:ascii="Arial" w:hAnsi="Arial" w:cs="Arial"/>
          <w:b w:val="0"/>
          <w:bCs w:val="0"/>
          <w:lang w:val="en-US" w:eastAsia="zh-CN"/>
        </w:rPr>
        <w:t>• Home use: select low risk level to meet general fire protection requirements</w:t>
      </w:r>
    </w:p>
    <w:p w14:paraId="766FF4E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Arial" w:hAnsi="Arial" w:cs="Arial"/>
          <w:b w:val="0"/>
          <w:bCs w:val="0"/>
          <w:lang w:val="en-US" w:eastAsia="zh-CN"/>
        </w:rPr>
      </w:pPr>
      <w:r>
        <w:rPr>
          <w:rFonts w:hint="default" w:ascii="Arial" w:hAnsi="Arial" w:cs="Arial"/>
          <w:b w:val="0"/>
          <w:bCs w:val="0"/>
          <w:lang w:val="en-US" w:eastAsia="zh-CN"/>
        </w:rPr>
        <w:t>• Hotel/public places: mandatory selection of medium risk level, because it involves public safety regulations</w:t>
      </w:r>
    </w:p>
    <w:p w14:paraId="5AEDC66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Arial" w:hAnsi="Arial" w:cs="Arial"/>
          <w:b w:val="0"/>
          <w:bCs w:val="0"/>
          <w:lang w:val="en-US" w:eastAsia="zh-CN"/>
        </w:rPr>
      </w:pPr>
      <w:r>
        <w:rPr>
          <w:rFonts w:hint="default" w:ascii="Arial" w:hAnsi="Arial" w:cs="Arial"/>
          <w:b w:val="0"/>
          <w:bCs w:val="0"/>
          <w:lang w:val="en-US" w:eastAsia="zh-CN"/>
        </w:rPr>
        <w:t>• Hospital/prison: need to select high or very high risk level according to specific areas, for example, hospital wards need to pass high risk test</w:t>
      </w:r>
    </w:p>
    <w:p w14:paraId="4903AB9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Arial" w:hAnsi="Arial" w:cs="Arial"/>
          <w:b w:val="0"/>
          <w:bCs w:val="0"/>
          <w:lang w:val="en-US" w:eastAsia="zh-CN"/>
        </w:rPr>
      </w:pPr>
    </w:p>
    <w:p w14:paraId="5C3D324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Arial" w:hAnsi="Arial" w:cs="Arial"/>
          <w:b w:val="0"/>
          <w:bCs w:val="0"/>
          <w:lang w:val="en-US" w:eastAsia="zh-CN"/>
        </w:rPr>
      </w:pPr>
      <w:r>
        <w:rPr>
          <w:rFonts w:hint="default" w:ascii="Arial" w:hAnsi="Arial" w:cs="Arial"/>
          <w:b w:val="0"/>
          <w:bCs w:val="0"/>
          <w:lang w:val="en-US" w:eastAsia="zh-CN"/>
        </w:rPr>
        <w:t>Also note that this standard does not apply to cushioned seats on vehicles.</w:t>
      </w:r>
    </w:p>
    <w:p w14:paraId="2EC583A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Arial" w:hAnsi="Arial" w:cs="Arial"/>
          <w:b w:val="0"/>
          <w:bCs w:val="0"/>
          <w:lang w:val="en-US" w:eastAsia="zh-CN"/>
        </w:rPr>
      </w:pPr>
    </w:p>
    <w:p w14:paraId="24ABCAD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Arial" w:hAnsi="Arial" w:cs="Arial"/>
          <w:b w:val="0"/>
          <w:bCs w:val="0"/>
          <w:lang w:val="en-US" w:eastAsia="zh-CN"/>
        </w:rPr>
      </w:pPr>
      <w:r>
        <w:rPr>
          <w:rFonts w:hint="default" w:ascii="Arial" w:hAnsi="Arial" w:cs="Arial"/>
          <w:b w:val="0"/>
          <w:bCs w:val="0"/>
          <w:lang w:val="en-US" w:eastAsia="zh-CN"/>
        </w:rPr>
        <w:t>Fire source type and test intensity:</w:t>
      </w:r>
    </w:p>
    <w:p w14:paraId="66BFB76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Arial" w:hAnsi="Arial" w:cs="Arial"/>
          <w:b w:val="0"/>
          <w:bCs w:val="0"/>
          <w:lang w:val="en-US" w:eastAsia="zh-CN"/>
        </w:rPr>
      </w:pPr>
      <w:r>
        <w:rPr>
          <w:rFonts w:hint="default" w:ascii="Arial" w:hAnsi="Arial" w:cs="Arial"/>
          <w:b w:val="0"/>
          <w:bCs w:val="0"/>
          <w:lang w:val="en-US" w:eastAsia="zh-CN"/>
        </w:rPr>
        <w:t>Different risk levels, different test standards, different ignition sources</w:t>
      </w:r>
    </w:p>
    <w:p w14:paraId="636EA40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Arial" w:hAnsi="Arial" w:cs="Arial"/>
          <w:b w:val="0"/>
          <w:bCs w:val="0"/>
          <w:lang w:val="en-US" w:eastAsia="zh-CN"/>
        </w:rPr>
      </w:pPr>
      <w:r>
        <w:rPr>
          <w:rFonts w:hint="default" w:ascii="Arial" w:hAnsi="Arial" w:cs="Arial"/>
          <w:b w:val="0"/>
          <w:bCs w:val="0"/>
          <w:lang w:val="en-US" w:eastAsia="zh-CN"/>
        </w:rPr>
        <w:t>• Low risk level fire source: smoldering cigarette (BS EN 597-1), simulated match flame (BS EN 597-2)</w:t>
      </w:r>
    </w:p>
    <w:p w14:paraId="7702D63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Arial" w:hAnsi="Arial" w:cs="Arial"/>
          <w:b w:val="0"/>
          <w:bCs w:val="0"/>
          <w:lang w:val="en-US" w:eastAsia="zh-CN"/>
        </w:rPr>
      </w:pPr>
      <w:r>
        <w:rPr>
          <w:rFonts w:hint="default" w:ascii="Arial" w:hAnsi="Arial" w:cs="Arial"/>
          <w:b w:val="0"/>
          <w:bCs w:val="0"/>
          <w:lang w:val="en-US" w:eastAsia="zh-CN"/>
        </w:rPr>
        <w:t>• Medium risk level fire source: all low risk fire sources, pine wood fire 5</w:t>
      </w:r>
    </w:p>
    <w:p w14:paraId="5B13F66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Arial" w:hAnsi="Arial" w:cs="Arial"/>
          <w:b w:val="0"/>
          <w:bCs w:val="0"/>
          <w:lang w:val="en-US" w:eastAsia="zh-CN"/>
        </w:rPr>
      </w:pPr>
      <w:r>
        <w:rPr>
          <w:rFonts w:hint="default" w:ascii="Arial" w:hAnsi="Arial" w:cs="Arial"/>
          <w:b w:val="0"/>
          <w:bCs w:val="0"/>
          <w:lang w:val="en-US" w:eastAsia="zh-CN"/>
        </w:rPr>
        <w:t>• High risk level fire source: all low risk fire sources, pine wood fire 7</w:t>
      </w:r>
    </w:p>
    <w:p w14:paraId="364C39C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Arial" w:hAnsi="Arial" w:cs="Arial"/>
          <w:b w:val="0"/>
          <w:bCs w:val="0"/>
          <w:lang w:val="en-US" w:eastAsia="zh-CN"/>
        </w:rPr>
      </w:pPr>
      <w:r>
        <w:rPr>
          <w:rFonts w:hint="default" w:ascii="Arial" w:hAnsi="Arial" w:cs="Arial"/>
          <w:b w:val="0"/>
          <w:bCs w:val="0"/>
          <w:lang w:val="en-US" w:eastAsia="zh-CN"/>
        </w:rPr>
        <w:t>• Very high risk level fire source: all high risk fire sources, additional fire sources</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9D760E"/>
    <w:rsid w:val="215C5F94"/>
    <w:rsid w:val="441230B7"/>
    <w:rsid w:val="4B742F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954</Words>
  <Characters>2101</Characters>
  <Lines>0</Lines>
  <Paragraphs>0</Paragraphs>
  <TotalTime>16</TotalTime>
  <ScaleCrop>false</ScaleCrop>
  <LinksUpToDate>false</LinksUpToDate>
  <CharactersWithSpaces>2387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2025-04-09T08:02:00Z</dcterms:created>
  <dc:creator>Administrator</dc:creator>
  <cp:lastModifiedBy>Administrator</cp:lastModifiedBy>
  <dcterms:modified xsi:type="dcterms:W3CDTF">2025-05-14T01:52:19Z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eyJoZGlkIjoiMDMyMzU4ZDY1NmQ1NzA0Mzc2MWE5MzUwMzlmNGVjMjMifQ==</vt:lpwstr>
  </property>
  <property fmtid="{D5CDD505-2E9C-101B-9397-08002B2CF9AE}" pid="4" name="ICV">
    <vt:lpwstr>17F393CC9C804A74ADE0DDE0EE7036CF_13</vt:lpwstr>
  </property>
</Properties>
</file>