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57C8E7">
      <w:pPr>
        <w:pStyle w:val="128"/>
        <w:ind w:firstLine="420"/>
        <w:sectPr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bookmarkStart w:id="0" w:name="OLE_LINK40"/>
      <w:bookmarkStart w:id="1" w:name="_Toc481801204"/>
      <w:bookmarkStart w:id="2" w:name="_Toc453597319"/>
      <w:bookmarkStart w:id="3" w:name="OLE_LINK13"/>
      <w:bookmarkStart w:id="4" w:name="OLE_LINK15"/>
      <w:bookmarkStart w:id="5" w:name="_Toc415142861"/>
      <w:bookmarkStart w:id="6" w:name="_Toc438987549"/>
      <w:bookmarkStart w:id="7" w:name="_Toc415143481"/>
      <w:bookmarkStart w:id="8" w:name="_Toc517262917"/>
      <w:bookmarkStart w:id="9" w:name="OLE_LINK24"/>
      <w:bookmarkStart w:id="10" w:name="OLE_LINK39"/>
      <w:bookmarkStart w:id="11" w:name="_Toc415818939"/>
      <w:bookmarkStart w:id="12" w:name="_Toc418070112"/>
      <w:bookmarkStart w:id="15" w:name="_GoBack"/>
      <w:bookmarkEnd w:id="15"/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398780</wp:posOffset>
                </wp:positionH>
                <wp:positionV relativeFrom="paragraph">
                  <wp:posOffset>2706370</wp:posOffset>
                </wp:positionV>
                <wp:extent cx="5685155" cy="2089785"/>
                <wp:effectExtent l="0" t="0" r="10795" b="62865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>
                            <w:pP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全球电子邮件欺诈防御SaaS行业总体规模、主要企业国内外市场占有率及排名</w:t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  <w:lang w:eastAsia="zh-CN"/>
                              </w:rPr>
                              <w:t>（</w:t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  <w:lang w:val="en-US" w:eastAsia="zh-CN"/>
                              </w:rPr>
                              <w:t>2024版</w:t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  <w:lang w:eastAsia="zh-CN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left:31.4pt;margin-top:213.1pt;height:164.55pt;width:447.65pt;mso-position-horizontal-relative:margin;z-index:251662336;mso-width-relative:page;mso-height-relative:page;" filled="f" stroked="f" coordsize="21600,21600" o:gfxdata="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DF1O5j2QAAAAoBAAAPAAAAAAAAAAEAIAAAACIAAABkcnMvZG93bnJl&#10;di54bWxQSwECFAAUAAAACACHTuJAXD8Bdm4CAADfBAAADgAAAAAAAAABACAAAAAoAQAAZHJzL2Uy&#10;b0RvYy54bWxQSwUGAAAAAAYABgBZAQAACAYAAAAA&#10;">
                <v:fill on="f" focussize="0,0"/>
                <v:stroke on="f" miterlimit="8" joinstyle="miter"/>
                <v:imagedata o:title=""/>
                <o:lock v:ext="edit" aspectratio="f"/>
                <v:shadow on="t" color="#000000" opacity="26214f" offset="2.12133858267717pt,2.12133858267717pt" origin="-32768f,-32768f" matrix="65536f,0f,0f,65536f"/>
                <v:textbox>
                  <w:txbxContent>
                    <w:p w14:paraId="77B0C74F">
                      <w:pP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</w:rPr>
                        <w:t>全球电子邮件欺诈防御SaaS行业总体规模、主要企业国内外市场占有率及排名</w:t>
                      </w: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  <w:lang w:eastAsia="zh-CN"/>
                        </w:rPr>
                        <w:t>（</w:t>
                      </w: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  <w:lang w:val="en-US" w:eastAsia="zh-CN"/>
                        </w:rPr>
                        <w:t>2024版</w:t>
                      </w: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  <w:lang w:eastAsia="zh-CN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-3825875</wp:posOffset>
            </wp:positionH>
            <wp:positionV relativeFrom="paragraph">
              <wp:posOffset>-925830</wp:posOffset>
            </wp:positionV>
            <wp:extent cx="10763885" cy="10689590"/>
            <wp:effectExtent l="0" t="0" r="18415" b="1651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76388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8823325</wp:posOffset>
                </wp:positionV>
                <wp:extent cx="6534150" cy="391795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341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Copyright © QYResearch | market@qyresearch.com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cn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|  150 1303 8387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26" o:spt="202" type="#_x0000_t202" style="position:absolute;left:0pt;margin-top:694.75pt;height:30.85pt;width:514.5pt;mso-position-horizontal:center;mso-position-horizontal-relative:margin;z-index:251664384;mso-width-relative:page;mso-height-relative:page;" filled="f" stroked="f" coordsize="21600,21600" o:gfxdata="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2M6tBNsAAAALAQAADwAAAAAAAAABACAAAAAiAAAAZHJzL2Rvd25yZXYu&#10;eG1sUEsBAhQAFAAAAAgAh07iQJLhd0QxAgAAdwQAAA4AAAAAAAAAAQAgAAAAKg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CCB99D7">
                      <w:pPr>
                        <w:jc w:val="center"/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Copyright © QYResearch | market@qyresearch.com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cn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|  150 1303 8387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344805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3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5B043077">
      <w:pPr>
        <w:pStyle w:val="128"/>
        <w:ind w:left="0" w:leftChars="0" w:firstLine="0" w:firstLineChars="0"/>
        <w:rPr>
          <w:rFonts w:hint="eastAsia"/>
        </w:rPr>
      </w:pPr>
      <w:r>
        <w:rPr>
          <w:rFonts w:hint="eastAsia"/>
          <w:b/>
          <w:bCs/>
        </w:rPr>
        <w:t>报告摘要</w:t>
      </w:r>
    </w:p>
    <w:p w14:paraId="1238BCDD">
      <w:pPr>
        <w:pStyle w:val="128"/>
        <w:ind w:left="0" w:leftChars="0" w:firstLine="0" w:firstLineChars="0"/>
        <w:rPr>
          <w:rFonts w:hint="eastAsia"/>
        </w:rPr>
      </w:pPr>
      <w:r>
        <w:rPr>
          <w:rFonts w:hint="eastAsia"/>
        </w:rPr>
        <w:t>本文侧重研究全球电子邮件欺诈防御SaaS总体规模及主要厂商占有率和排名，主要统计指标包括电子邮件欺诈防御SaaS业务收入、市场份额及排名等，企业数据主要侧重近三年行业内主要厂商的市场销售情况。地区层面，主要分析过去五年和未来五年行业内主要地区的规模及趋势。</w:t>
      </w:r>
    </w:p>
    <w:p w14:paraId="344C8E65">
      <w:pPr>
        <w:pStyle w:val="128"/>
        <w:ind w:firstLine="420"/>
        <w:rPr>
          <w:rFonts w:hint="eastAsia"/>
        </w:rPr>
      </w:pPr>
      <w:r>
        <w:rPr>
          <w:rFonts w:hint="eastAsia"/>
        </w:rPr>
        <w:t>本文主要企业名单如下，也可根据客户要求增加目标企业：</w:t>
      </w:r>
    </w:p>
    <w:p w14:paraId="5D1002BB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Proofpoint</w:t>
      </w:r>
    </w:p>
    <w:p w14:paraId="4D9192C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Mimecast</w:t>
      </w:r>
    </w:p>
    <w:p w14:paraId="356E76B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Barracuda Networks</w:t>
      </w:r>
    </w:p>
    <w:p w14:paraId="30A8C75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Redsift</w:t>
      </w:r>
    </w:p>
    <w:p w14:paraId="0C8470D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Valimail</w:t>
      </w:r>
    </w:p>
    <w:p w14:paraId="5207491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EasyDMARC</w:t>
      </w:r>
    </w:p>
    <w:p w14:paraId="2C1BF0B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Fortra</w:t>
      </w:r>
    </w:p>
    <w:p w14:paraId="4FE4891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dmarcian</w:t>
      </w:r>
    </w:p>
    <w:p w14:paraId="2AE2245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DuoCircle</w:t>
      </w:r>
    </w:p>
    <w:p w14:paraId="14CE791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ZeroBounce</w:t>
      </w:r>
    </w:p>
    <w:p w14:paraId="0CE5790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LIBRAESVA</w:t>
      </w:r>
    </w:p>
    <w:p w14:paraId="63F74A5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Report URI</w:t>
      </w:r>
    </w:p>
    <w:p w14:paraId="1E046583">
      <w:pPr>
        <w:pStyle w:val="128"/>
        <w:ind w:firstLine="420"/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 w14:paraId="2D67829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DMARC</w:t>
      </w:r>
    </w:p>
    <w:p w14:paraId="7E34B36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SPF</w:t>
      </w:r>
    </w:p>
    <w:p w14:paraId="5BDC470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DKIM</w:t>
      </w:r>
    </w:p>
    <w:p w14:paraId="6482672D">
      <w:pPr>
        <w:pStyle w:val="128"/>
        <w:ind w:firstLine="420"/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 w14:paraId="745EA83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金融机构</w:t>
      </w:r>
    </w:p>
    <w:p w14:paraId="790310A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科技公司</w:t>
      </w:r>
    </w:p>
    <w:p w14:paraId="2C694A1A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政府机构</w:t>
      </w:r>
    </w:p>
    <w:p w14:paraId="0C9413CD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教育机构</w:t>
      </w:r>
    </w:p>
    <w:p w14:paraId="503D277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医疗保健组织</w:t>
      </w:r>
    </w:p>
    <w:p w14:paraId="1E46751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其他</w:t>
      </w:r>
    </w:p>
    <w:p w14:paraId="5E68992C">
      <w:pPr>
        <w:pStyle w:val="128"/>
        <w:ind w:firstLine="420"/>
        <w:rPr>
          <w:rFonts w:hint="eastAsia"/>
        </w:rPr>
      </w:pPr>
      <w:r>
        <w:rPr>
          <w:rFonts w:hint="eastAsia"/>
        </w:rPr>
        <w:t>重点关注如下几个地区</w:t>
      </w:r>
    </w:p>
    <w:p w14:paraId="7AA5F7E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北美</w:t>
      </w:r>
    </w:p>
    <w:p w14:paraId="0A5026F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欧洲</w:t>
      </w:r>
    </w:p>
    <w:p w14:paraId="7965772A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中国</w:t>
      </w:r>
    </w:p>
    <w:p w14:paraId="0307E4F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日本</w:t>
      </w:r>
    </w:p>
    <w:p w14:paraId="0D5FECF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东南亚</w:t>
      </w:r>
    </w:p>
    <w:p w14:paraId="4A9DAB2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印度</w:t>
      </w:r>
    </w:p>
    <w:p w14:paraId="08CE1897">
      <w:pPr>
        <w:pStyle w:val="128"/>
        <w:ind w:firstLine="420"/>
        <w:rPr>
          <w:rFonts w:hint="eastAsia"/>
        </w:rPr>
      </w:pPr>
      <w:r>
        <w:rPr>
          <w:rFonts w:hint="eastAsia"/>
        </w:rPr>
        <w:t>本文正文共9章，各章节主要内容如下：</w:t>
      </w:r>
    </w:p>
    <w:p w14:paraId="46704BA0">
      <w:pPr>
        <w:pStyle w:val="128"/>
        <w:ind w:firstLine="420"/>
        <w:rPr>
          <w:rFonts w:hint="eastAsia"/>
        </w:rPr>
      </w:pPr>
      <w:r>
        <w:rPr>
          <w:rFonts w:hint="eastAsia"/>
        </w:rPr>
        <w:t>第1章：报告统计范围、所属行业、全球及中国总体规模</w:t>
      </w:r>
    </w:p>
    <w:p w14:paraId="44F6A110">
      <w:pPr>
        <w:pStyle w:val="128"/>
        <w:ind w:firstLine="420"/>
        <w:rPr>
          <w:rFonts w:hint="eastAsia"/>
        </w:rPr>
      </w:pPr>
      <w:r>
        <w:rPr>
          <w:rFonts w:hint="eastAsia"/>
        </w:rPr>
        <w:t>第2章：国内外主要企业市场占有率及排名</w:t>
      </w:r>
    </w:p>
    <w:p w14:paraId="69DA54D2">
      <w:pPr>
        <w:pStyle w:val="128"/>
        <w:ind w:firstLine="420"/>
        <w:rPr>
          <w:rFonts w:hint="eastAsia"/>
        </w:rPr>
      </w:pPr>
      <w:r>
        <w:rPr>
          <w:rFonts w:hint="eastAsia"/>
        </w:rPr>
        <w:t>第3章：全球电子邮件欺诈防御SaaS主要地区市场规模及份额等</w:t>
      </w:r>
    </w:p>
    <w:p w14:paraId="3E85503E">
      <w:pPr>
        <w:pStyle w:val="128"/>
        <w:ind w:firstLine="420"/>
        <w:rPr>
          <w:rFonts w:hint="eastAsia"/>
        </w:rPr>
      </w:pPr>
      <w:r>
        <w:rPr>
          <w:rFonts w:hint="eastAsia"/>
        </w:rPr>
        <w:t>第4章：按产品类型细分，全球电子邮件欺诈防御SaaS市场规模及份额等</w:t>
      </w:r>
    </w:p>
    <w:p w14:paraId="2AC6C1CF">
      <w:pPr>
        <w:pStyle w:val="128"/>
        <w:ind w:firstLine="420"/>
        <w:rPr>
          <w:rFonts w:hint="eastAsia"/>
        </w:rPr>
      </w:pPr>
      <w:r>
        <w:rPr>
          <w:rFonts w:hint="eastAsia"/>
        </w:rPr>
        <w:t>第5章：按应用细分，全球电子邮件欺诈防御SaaS市场规模及份额等</w:t>
      </w:r>
    </w:p>
    <w:p w14:paraId="24417766">
      <w:pPr>
        <w:pStyle w:val="128"/>
        <w:ind w:firstLine="420"/>
        <w:rPr>
          <w:rFonts w:hint="eastAsia"/>
        </w:rPr>
      </w:pPr>
      <w:r>
        <w:rPr>
          <w:rFonts w:hint="eastAsia"/>
        </w:rPr>
        <w:t>第6章：全球主要企业基本情况介绍，包括公司简介、电子邮件欺诈防御SaaS产品、收入及最新动态等</w:t>
      </w:r>
    </w:p>
    <w:p w14:paraId="0A664FB8">
      <w:pPr>
        <w:pStyle w:val="128"/>
        <w:ind w:firstLine="420"/>
        <w:rPr>
          <w:rFonts w:hint="eastAsia"/>
        </w:rPr>
      </w:pPr>
      <w:r>
        <w:rPr>
          <w:rFonts w:hint="eastAsia"/>
        </w:rPr>
        <w:t>第7章：行业发展趋势、驱动因素、行业政策等</w:t>
      </w:r>
    </w:p>
    <w:p w14:paraId="29344C18">
      <w:pPr>
        <w:pStyle w:val="128"/>
        <w:ind w:firstLine="420"/>
        <w:rPr>
          <w:rFonts w:hint="eastAsia"/>
        </w:rPr>
      </w:pPr>
      <w:r>
        <w:rPr>
          <w:rFonts w:hint="eastAsia"/>
        </w:rPr>
        <w:t>第8章：产业链、上下游分析、生产模式、销售，模式及销售渠道分析等</w:t>
      </w:r>
    </w:p>
    <w:p w14:paraId="48A9D646">
      <w:pPr>
        <w:pStyle w:val="128"/>
        <w:ind w:firstLine="420"/>
        <w:rPr>
          <w:rFonts w:hint="eastAsia"/>
        </w:rPr>
      </w:pPr>
      <w:r>
        <w:rPr>
          <w:rFonts w:hint="eastAsia"/>
        </w:rPr>
        <w:t>第9章：报告结论</w:t>
      </w:r>
    </w:p>
    <w:p w14:paraId="79673278">
      <w:pPr>
        <w:pStyle w:val="128"/>
        <w:ind w:firstLine="420"/>
        <w:rPr>
          <w:rFonts w:hint="eastAsia"/>
        </w:rPr>
      </w:pPr>
    </w:p>
    <w:p w14:paraId="4A91538F">
      <w:pPr>
        <w:pStyle w:val="128"/>
        <w:ind w:firstLine="420"/>
        <w:rPr>
          <w:rFonts w:hint="eastAsia"/>
        </w:rPr>
      </w:pPr>
    </w:p>
    <w:p w14:paraId="07F30FBD">
      <w:pPr>
        <w:pStyle w:val="128"/>
        <w:ind w:firstLine="420"/>
        <w:rPr>
          <w:rFonts w:hint="eastAsia"/>
        </w:rPr>
      </w:pPr>
    </w:p>
    <w:p w14:paraId="003FA6A3">
      <w:pPr>
        <w:pStyle w:val="128"/>
        <w:ind w:firstLine="420"/>
        <w:rPr>
          <w:rFonts w:hint="eastAsia"/>
        </w:rPr>
      </w:pPr>
      <w:r>
        <w:rPr>
          <w:rFonts w:hint="eastAsia"/>
        </w:rPr>
        <w:t>正文目录</w:t>
      </w:r>
    </w:p>
    <w:p w14:paraId="6D66B113">
      <w:pPr>
        <w:pStyle w:val="128"/>
        <w:ind w:firstLine="420"/>
        <w:rPr>
          <w:rFonts w:hint="eastAsia"/>
        </w:rPr>
      </w:pPr>
    </w:p>
    <w:p w14:paraId="4754EEEB">
      <w:pPr>
        <w:pStyle w:val="128"/>
        <w:ind w:firstLine="420"/>
        <w:rPr>
          <w:rFonts w:hint="eastAsia"/>
        </w:rPr>
      </w:pPr>
      <w:r>
        <w:rPr>
          <w:rFonts w:hint="eastAsia"/>
        </w:rPr>
        <w:t>1 统计范围及所属行业</w:t>
      </w:r>
    </w:p>
    <w:p w14:paraId="00A968B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1.1 产品定义</w:t>
      </w:r>
    </w:p>
    <w:p w14:paraId="1E10716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1.2 所属行业</w:t>
      </w:r>
    </w:p>
    <w:p w14:paraId="1624ED5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1.3 全球市场电子邮件欺诈防御SaaS市场总体规模</w:t>
      </w:r>
    </w:p>
    <w:p w14:paraId="6E8A920B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1.4 中国市场电子邮件欺诈防御SaaS市场总体规模</w:t>
      </w:r>
    </w:p>
    <w:p w14:paraId="214A006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1.5 行业发展现状分析</w:t>
      </w:r>
    </w:p>
    <w:p w14:paraId="070F306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1.5.1 电子邮件欺诈防御SaaS行业发展总体概况</w:t>
      </w:r>
    </w:p>
    <w:p w14:paraId="109EB79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1.5.2 电子邮件欺诈防御SaaS行业发展主要特点</w:t>
      </w:r>
    </w:p>
    <w:p w14:paraId="29EC5A9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1.5.3 电子邮件欺诈防御SaaS行业发展影响因素</w:t>
      </w:r>
    </w:p>
    <w:p w14:paraId="6ED1D33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1.5.3.1 电子邮件欺诈防御SaaS有利因素</w:t>
      </w:r>
    </w:p>
    <w:p w14:paraId="308C5D9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1.5.3.2 电子邮件欺诈防御SaaS不利因素</w:t>
      </w:r>
    </w:p>
    <w:p w14:paraId="0C9E706F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1.5.4 进入行业壁垒</w:t>
      </w:r>
    </w:p>
    <w:p w14:paraId="2D84B221">
      <w:pPr>
        <w:pStyle w:val="128"/>
        <w:ind w:firstLine="420"/>
        <w:rPr>
          <w:rFonts w:hint="eastAsia"/>
        </w:rPr>
      </w:pPr>
      <w:r>
        <w:rPr>
          <w:rFonts w:hint="eastAsia"/>
        </w:rPr>
        <w:t>2 国内外市场占有率及排名</w:t>
      </w:r>
    </w:p>
    <w:p w14:paraId="1B0331B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2.1 全球市场，近三年电子邮件欺诈防御SaaS主要企业占有率及排名（按收入）</w:t>
      </w:r>
    </w:p>
    <w:p w14:paraId="6D01C09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2.1.1 近三年电子邮件欺诈防御SaaS主要企业在国际市场占有率（按收入，2021-2024）</w:t>
      </w:r>
    </w:p>
    <w:p w14:paraId="6A6AC8DF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2.1.2 2023年电子邮件欺诈防御SaaS主要企业在国际市场排名（按收入）</w:t>
      </w:r>
    </w:p>
    <w:p w14:paraId="35EEE35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2.1.3 近三年全球市场主要企业电子邮件欺诈防御SaaS销售收入（2021-2024）</w:t>
      </w:r>
    </w:p>
    <w:p w14:paraId="1441C8B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2.2 中国市场，近三年电子邮件欺诈防御SaaS主要企业占有率及排名（按收入）</w:t>
      </w:r>
    </w:p>
    <w:p w14:paraId="1A9AEAC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2.2.1 近三年电子邮件欺诈防御SaaS主要企业在中国市场占有率（按收入，2021-2024）</w:t>
      </w:r>
    </w:p>
    <w:p w14:paraId="7A82530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2.2.2 2023年电子邮件欺诈防御SaaS主要企业在中国市场排名（按收入）</w:t>
      </w:r>
    </w:p>
    <w:p w14:paraId="5CB1F63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2.2.3 近三年中国市场主要企业电子邮件欺诈防御SaaS销售收入（2021-2024）</w:t>
      </w:r>
    </w:p>
    <w:p w14:paraId="3E220C6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2.3 全球主要厂商电子邮件欺诈防御SaaS总部及产地分布</w:t>
      </w:r>
    </w:p>
    <w:p w14:paraId="3355213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2.4 全球主要厂商成立时间及电子邮件欺诈防御SaaS商业化日期</w:t>
      </w:r>
    </w:p>
    <w:p w14:paraId="5C1A8DC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2.5 全球主要厂商电子邮件欺诈防御SaaS产品类型及应用</w:t>
      </w:r>
    </w:p>
    <w:p w14:paraId="0FC1EFF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2.6 电子邮件欺诈防御SaaS行业集中度、竞争程度分析</w:t>
      </w:r>
    </w:p>
    <w:p w14:paraId="4BAC585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2.6.1 电子邮件欺诈防御SaaS行业集中度分析：2023年全球Top 5厂商市场份额</w:t>
      </w:r>
    </w:p>
    <w:p w14:paraId="2E32F94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2.6.2 全球电子邮件欺诈防御SaaS第一梯队、第二梯队和第三梯队厂商（品牌）及市场份额</w:t>
      </w:r>
    </w:p>
    <w:p w14:paraId="6A2277B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2.7 新增投资及市场并购活动</w:t>
      </w:r>
    </w:p>
    <w:p w14:paraId="1107E356">
      <w:pPr>
        <w:pStyle w:val="128"/>
        <w:ind w:firstLine="420"/>
        <w:rPr>
          <w:rFonts w:hint="eastAsia"/>
        </w:rPr>
      </w:pPr>
      <w:r>
        <w:rPr>
          <w:rFonts w:hint="eastAsia"/>
        </w:rPr>
        <w:t>3 全球电子邮件欺诈防御SaaS主要地区分析</w:t>
      </w:r>
    </w:p>
    <w:p w14:paraId="279BEE8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3.1 全球主要地区电子邮件欺诈防御SaaS市场规模分析：2019 VS 2023 VS 2030</w:t>
      </w:r>
    </w:p>
    <w:p w14:paraId="309F5DD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3.1.1 全球主要地区电子邮件欺诈防御SaaS销售额及份额（2019-2024年）</w:t>
      </w:r>
    </w:p>
    <w:p w14:paraId="76DE4F4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3.1.2 全球主要地区电子邮件欺诈防御SaaS销售额及份额预测（2025-2030）</w:t>
      </w:r>
    </w:p>
    <w:p w14:paraId="7A8BCB5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3.2 北美电子邮件欺诈防御SaaS销售额及预测（2019-2030）</w:t>
      </w:r>
    </w:p>
    <w:p w14:paraId="6EAD15C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3.3 欧洲电子邮件欺诈防御SaaS销售额及预测（2019-2030）</w:t>
      </w:r>
    </w:p>
    <w:p w14:paraId="2AA4E69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3.4 中国电子邮件欺诈防御SaaS销售额及预测（2019-2030）</w:t>
      </w:r>
    </w:p>
    <w:p w14:paraId="499E178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3.5 日本电子邮件欺诈防御SaaS销售额及预测（2019-2030）</w:t>
      </w:r>
    </w:p>
    <w:p w14:paraId="6ACB274B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3.6 东南亚电子邮件欺诈防御SaaS销售额及预测（2019-2030）</w:t>
      </w:r>
    </w:p>
    <w:p w14:paraId="2228A7A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3.7 印度电子邮件欺诈防御SaaS销售额及预测（2019-2030）</w:t>
      </w:r>
    </w:p>
    <w:p w14:paraId="0A1A3747">
      <w:pPr>
        <w:pStyle w:val="128"/>
        <w:ind w:firstLine="420"/>
        <w:rPr>
          <w:rFonts w:hint="eastAsia"/>
        </w:rPr>
      </w:pPr>
      <w:r>
        <w:rPr>
          <w:rFonts w:hint="eastAsia"/>
        </w:rPr>
        <w:t>4 产品分类，按产品类型</w:t>
      </w:r>
    </w:p>
    <w:p w14:paraId="63DDA9DB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4.1 产品分类，按产品类型</w:t>
      </w:r>
    </w:p>
    <w:p w14:paraId="0754B47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4.1.1 DMARC</w:t>
      </w:r>
    </w:p>
    <w:p w14:paraId="42BEBE3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4.1.2 SPF</w:t>
      </w:r>
    </w:p>
    <w:p w14:paraId="5581CB9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4.1.3 DKIM</w:t>
      </w:r>
    </w:p>
    <w:p w14:paraId="3C4F4ED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4.2 按产品类型细分，全球电子邮件欺诈防御SaaS销售额对比（2019 VS 2023 VS 2030）</w:t>
      </w:r>
    </w:p>
    <w:p w14:paraId="42F06DF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4.3 按产品类型细分，全球电子邮件欺诈防御SaaS销售额及预测（2019-2030）</w:t>
      </w:r>
    </w:p>
    <w:p w14:paraId="7534D7E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4.3.1 按产品类型细分，全球电子邮件欺诈防御SaaS销售额及市场份额（2019-2024）</w:t>
      </w:r>
    </w:p>
    <w:p w14:paraId="50AC193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4.3.2 按产品类型细分，全球电子邮件欺诈防御SaaS销售额预测（2025-2030）</w:t>
      </w:r>
    </w:p>
    <w:p w14:paraId="5E78E0D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4.4 按产品类型细分，中国电子邮件欺诈防御SaaS销售额及预测（2019-2030）</w:t>
      </w:r>
    </w:p>
    <w:p w14:paraId="24E2114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4.4.1 按产品类型细分，中国电子邮件欺诈防御SaaS销售额及市场份额（2019-2024）</w:t>
      </w:r>
    </w:p>
    <w:p w14:paraId="3973AAB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4.4.2 按产品类型细分，中国电子邮件欺诈防御SaaS销售额预测（2025-2030）</w:t>
      </w:r>
    </w:p>
    <w:p w14:paraId="107EC880">
      <w:pPr>
        <w:pStyle w:val="128"/>
        <w:ind w:firstLine="420"/>
        <w:rPr>
          <w:rFonts w:hint="eastAsia"/>
        </w:rPr>
      </w:pPr>
      <w:r>
        <w:rPr>
          <w:rFonts w:hint="eastAsia"/>
        </w:rPr>
        <w:t>5 产品分类，按应用</w:t>
      </w:r>
    </w:p>
    <w:p w14:paraId="1E64956F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5.1 产品分类，按应用</w:t>
      </w:r>
    </w:p>
    <w:p w14:paraId="0882BE2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5.1.1 金融机构</w:t>
      </w:r>
    </w:p>
    <w:p w14:paraId="5B040E0D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5.1.2 科技公司</w:t>
      </w:r>
    </w:p>
    <w:p w14:paraId="2620E94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5.1.3 政府机构</w:t>
      </w:r>
    </w:p>
    <w:p w14:paraId="31497DFD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5.1.4 教育机构</w:t>
      </w:r>
    </w:p>
    <w:p w14:paraId="115AC1EA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5.1.5 医疗保健组织</w:t>
      </w:r>
    </w:p>
    <w:p w14:paraId="3F449E3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5.1.6 其他</w:t>
      </w:r>
    </w:p>
    <w:p w14:paraId="73991B3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5.2 按应用细分，全球电子邮件欺诈防御SaaS销售额对比（2019 VS 2023 VS 2030）</w:t>
      </w:r>
    </w:p>
    <w:p w14:paraId="3640143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5.3 按应用细分，全球电子邮件欺诈防御SaaS销售额及预测（2019-2030）</w:t>
      </w:r>
    </w:p>
    <w:p w14:paraId="030FF13B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5.3.1 按应用细分，全球电子邮件欺诈防御SaaS销售额及市场份额（2019-2024）</w:t>
      </w:r>
    </w:p>
    <w:p w14:paraId="08171C1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5.3.2 按应用细分，全球电子邮件欺诈防御SaaS销售额预测（2025-2030）</w:t>
      </w:r>
    </w:p>
    <w:p w14:paraId="2BCF8EB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5.4 中国不同应用电子邮件欺诈防御SaaS销售额及预测（2019-2030）</w:t>
      </w:r>
    </w:p>
    <w:p w14:paraId="5A502FC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5.4.1 中国不同应用电子邮件欺诈防御SaaS销售额及市场份额（2019-2024）</w:t>
      </w:r>
    </w:p>
    <w:p w14:paraId="24C132E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5.4.2 中国不同应用电子邮件欺诈防御SaaS销售额预测（2025-2030）</w:t>
      </w:r>
    </w:p>
    <w:p w14:paraId="091D94E4">
      <w:pPr>
        <w:pStyle w:val="128"/>
        <w:ind w:firstLine="420"/>
        <w:rPr>
          <w:rFonts w:hint="eastAsia"/>
        </w:rPr>
      </w:pPr>
      <w:r>
        <w:rPr>
          <w:rFonts w:hint="eastAsia"/>
        </w:rPr>
        <w:t>6 主要企业简介</w:t>
      </w:r>
    </w:p>
    <w:p w14:paraId="01DCD85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6.1 Proofpoint</w:t>
      </w:r>
    </w:p>
    <w:p w14:paraId="5D234C3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6.1.1 Proofpoint公司信息、总部、电子邮件欺诈防御SaaS市场地位以及主要的竞争对手</w:t>
      </w:r>
    </w:p>
    <w:p w14:paraId="12BCE6B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6.1.2 Proofpoint 电子邮件欺诈防御SaaS产品及服务介绍</w:t>
      </w:r>
    </w:p>
    <w:p w14:paraId="3DDB228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6.1.3 Proofpoint 电子邮件欺诈防御SaaS收入及毛利率（2019-2024）&amp;（万元）</w:t>
      </w:r>
    </w:p>
    <w:p w14:paraId="033172E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6.1.4 Proofpoint公司简介及主要业务</w:t>
      </w:r>
    </w:p>
    <w:p w14:paraId="742C5AFB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6.1.5 Proofpoint企业最新动态</w:t>
      </w:r>
    </w:p>
    <w:p w14:paraId="7B6F5AA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6.2 Mimecast</w:t>
      </w:r>
    </w:p>
    <w:p w14:paraId="17D9827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6.2.1 Mimecast公司信息、总部、电子邮件欺诈防御SaaS市场地位以及主要的竞争对手</w:t>
      </w:r>
    </w:p>
    <w:p w14:paraId="0FBED7F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6.2.2 Mimecast 电子邮件欺诈防御SaaS产品及服务介绍</w:t>
      </w:r>
    </w:p>
    <w:p w14:paraId="4A13CC9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6.2.3 Mimecast 电子邮件欺诈防御SaaS收入及毛利率（2019-2024）&amp;（万元）</w:t>
      </w:r>
    </w:p>
    <w:p w14:paraId="242B4C2A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6.2.4 Mimecast公司简介及主要业务</w:t>
      </w:r>
    </w:p>
    <w:p w14:paraId="4942DA4F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6.2.5 Mimecast企业最新动态</w:t>
      </w:r>
    </w:p>
    <w:p w14:paraId="2CD9789D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6.3 Barracuda Networks</w:t>
      </w:r>
    </w:p>
    <w:p w14:paraId="60BF678D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6.3.1 Barracuda Networks公司信息、总部、电子邮件欺诈防御SaaS市场地位以及主要的竞争对手</w:t>
      </w:r>
    </w:p>
    <w:p w14:paraId="5C7FBC5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6.3.2 Barracuda Networks 电子邮件欺诈防御SaaS产品及服务介绍</w:t>
      </w:r>
    </w:p>
    <w:p w14:paraId="2577775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6.3.3 Barracuda Networks 电子邮件欺诈防御SaaS收入及毛利率（2019-2024）&amp;（万元）</w:t>
      </w:r>
    </w:p>
    <w:p w14:paraId="7445053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6.3.4 Barracuda Networks公司简介及主要业务</w:t>
      </w:r>
    </w:p>
    <w:p w14:paraId="43304A8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6.3.5 Barracuda Networks企业最新动态</w:t>
      </w:r>
    </w:p>
    <w:p w14:paraId="41D4CCDF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6.4 Redsift</w:t>
      </w:r>
    </w:p>
    <w:p w14:paraId="3EFFF00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6.4.1 Redsift公司信息、总部、电子邮件欺诈防御SaaS市场地位以及主要的竞争对手</w:t>
      </w:r>
    </w:p>
    <w:p w14:paraId="14F6444A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6.4.2 Redsift 电子邮件欺诈防御SaaS产品及服务介绍</w:t>
      </w:r>
    </w:p>
    <w:p w14:paraId="713787B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6.4.3 Redsift 电子邮件欺诈防御SaaS收入及毛利率（2019-2024）&amp;（万元）</w:t>
      </w:r>
    </w:p>
    <w:p w14:paraId="4E0E247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6.4.4 Redsift公司简介及主要业务</w:t>
      </w:r>
    </w:p>
    <w:p w14:paraId="4EBBD48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6.5 Valimail</w:t>
      </w:r>
    </w:p>
    <w:p w14:paraId="470E831F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6.5.1 Valimail公司信息、总部、电子邮件欺诈防御SaaS市场地位以及主要的竞争对手</w:t>
      </w:r>
    </w:p>
    <w:p w14:paraId="6156E71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6.5.2 Valimail 电子邮件欺诈防御SaaS产品及服务介绍</w:t>
      </w:r>
    </w:p>
    <w:p w14:paraId="03D4523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6.5.3 Valimail 电子邮件欺诈防御SaaS收入及毛利率（2019-2024）&amp;（万元）</w:t>
      </w:r>
    </w:p>
    <w:p w14:paraId="4DD6EA1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6.5.4 Valimail公司简介及主要业务</w:t>
      </w:r>
    </w:p>
    <w:p w14:paraId="1A58052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6.5.5 Valimail企业最新动态</w:t>
      </w:r>
    </w:p>
    <w:p w14:paraId="4877A07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6.6 EasyDMARC</w:t>
      </w:r>
    </w:p>
    <w:p w14:paraId="6F9C5C5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6.6.1 EasyDMARC公司信息、总部、电子邮件欺诈防御SaaS市场地位以及主要的竞争对手</w:t>
      </w:r>
    </w:p>
    <w:p w14:paraId="77C0731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6.6.2 EasyDMARC 电子邮件欺诈防御SaaS产品及服务介绍</w:t>
      </w:r>
    </w:p>
    <w:p w14:paraId="6234B9FB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6.6.3 EasyDMARC 电子邮件欺诈防御SaaS收入及毛利率（2019-2024）&amp;（万元）</w:t>
      </w:r>
    </w:p>
    <w:p w14:paraId="7AA520F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6.6.4 EasyDMARC公司简介及主要业务</w:t>
      </w:r>
    </w:p>
    <w:p w14:paraId="5085B80D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6.6.5 EasyDMARC企业最新动态</w:t>
      </w:r>
    </w:p>
    <w:p w14:paraId="318227C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6.7 Fortra</w:t>
      </w:r>
    </w:p>
    <w:p w14:paraId="2CC6160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6.7.1 Fortra公司信息、总部、电子邮件欺诈防御SaaS市场地位以及主要的竞争对手</w:t>
      </w:r>
    </w:p>
    <w:p w14:paraId="3D3E9B0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6.7.2 Fortra 电子邮件欺诈防御SaaS产品及服务介绍</w:t>
      </w:r>
    </w:p>
    <w:p w14:paraId="22A31E9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6.7.3 Fortra 电子邮件欺诈防御SaaS收入及毛利率（2019-2024）&amp;（万元）</w:t>
      </w:r>
    </w:p>
    <w:p w14:paraId="641207E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6.7.4 Fortra公司简介及主要业务</w:t>
      </w:r>
    </w:p>
    <w:p w14:paraId="6248618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6.7.5 Fortra企业最新动态</w:t>
      </w:r>
    </w:p>
    <w:p w14:paraId="5F84233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6.8 dmarcian</w:t>
      </w:r>
    </w:p>
    <w:p w14:paraId="6BE5D72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6.8.1 dmarcian公司信息、总部、电子邮件欺诈防御SaaS市场地位以及主要的竞争对手</w:t>
      </w:r>
    </w:p>
    <w:p w14:paraId="6E108B1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6.8.2 dmarcian 电子邮件欺诈防御SaaS产品及服务介绍</w:t>
      </w:r>
    </w:p>
    <w:p w14:paraId="11E83D1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6.8.3 dmarcian 电子邮件欺诈防御SaaS收入及毛利率（2019-2024）&amp;（万元）</w:t>
      </w:r>
    </w:p>
    <w:p w14:paraId="270636D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6.8.4 dmarcian公司简介及主要业务</w:t>
      </w:r>
    </w:p>
    <w:p w14:paraId="2BBFA96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6.8.5 dmarcian企业最新动态</w:t>
      </w:r>
    </w:p>
    <w:p w14:paraId="03F5432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6.9 DuoCircle</w:t>
      </w:r>
    </w:p>
    <w:p w14:paraId="7611E6F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6.9.1 DuoCircle公司信息、总部、电子邮件欺诈防御SaaS市场地位以及主要的竞争对手</w:t>
      </w:r>
    </w:p>
    <w:p w14:paraId="466CDF9A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6.9.2 DuoCircle 电子邮件欺诈防御SaaS产品及服务介绍</w:t>
      </w:r>
    </w:p>
    <w:p w14:paraId="4BB8422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6.9.3 DuoCircle 电子邮件欺诈防御SaaS收入及毛利率（2019-2024）&amp;（万元）</w:t>
      </w:r>
    </w:p>
    <w:p w14:paraId="522FE12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6.9.4 DuoCircle公司简介及主要业务</w:t>
      </w:r>
    </w:p>
    <w:p w14:paraId="5F1242C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6.9.5 DuoCircle企业最新动态</w:t>
      </w:r>
    </w:p>
    <w:p w14:paraId="137F5C8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6.10 ZeroBounce</w:t>
      </w:r>
    </w:p>
    <w:p w14:paraId="40B6B3A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6.10.1 ZeroBounce公司信息、总部、电子邮件欺诈防御SaaS市场地位以及主要的竞争对手</w:t>
      </w:r>
    </w:p>
    <w:p w14:paraId="49A0F85F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6.10.2 ZeroBounce 电子邮件欺诈防御SaaS产品及服务介绍</w:t>
      </w:r>
    </w:p>
    <w:p w14:paraId="2450CF3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6.10.3 ZeroBounce 电子邮件欺诈防御SaaS收入及毛利率（2019-2024）&amp;（万元）</w:t>
      </w:r>
    </w:p>
    <w:p w14:paraId="1284CF7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6.10.4 ZeroBounce公司简介及主要业务</w:t>
      </w:r>
    </w:p>
    <w:p w14:paraId="5D84149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6.10.5 ZeroBounce企业最新动态</w:t>
      </w:r>
    </w:p>
    <w:p w14:paraId="7C63C91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6.11 LIBRAESVA</w:t>
      </w:r>
    </w:p>
    <w:p w14:paraId="4D82B2A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6.11.1 LIBRAESVA公司信息、总部、电子邮件欺诈防御SaaS市场地位以及主要的竞争对手</w:t>
      </w:r>
    </w:p>
    <w:p w14:paraId="1361A87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6.11.2 LIBRAESVA 电子邮件欺诈防御SaaS产品及服务介绍</w:t>
      </w:r>
    </w:p>
    <w:p w14:paraId="6957E9EF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6.11.3 LIBRAESVA 电子邮件欺诈防御SaaS收入及毛利率（2019-2024）&amp;（万元）</w:t>
      </w:r>
    </w:p>
    <w:p w14:paraId="33BC5FF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6.11.4 LIBRAESVA公司简介及主要业务</w:t>
      </w:r>
    </w:p>
    <w:p w14:paraId="673B128D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6.11.5 LIBRAESVA企业最新动态</w:t>
      </w:r>
    </w:p>
    <w:p w14:paraId="132973C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6.12 Report URI</w:t>
      </w:r>
    </w:p>
    <w:p w14:paraId="29C9559B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6.12.1 Report URI公司信息、总部、电子邮件欺诈防御SaaS市场地位以及主要的竞争对手</w:t>
      </w:r>
    </w:p>
    <w:p w14:paraId="47E6636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6.12.2 Report URI 电子邮件欺诈防御SaaS产品及服务介绍</w:t>
      </w:r>
    </w:p>
    <w:p w14:paraId="75B2FAD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6.12.3 Report URI 电子邮件欺诈防御SaaS收入及毛利率（2019-2024）&amp;（万元）</w:t>
      </w:r>
    </w:p>
    <w:p w14:paraId="70C8297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6.12.4 Report URI公司简介及主要业务</w:t>
      </w:r>
    </w:p>
    <w:p w14:paraId="145AAEA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6.12.5 Report URI企业最新动态</w:t>
      </w:r>
    </w:p>
    <w:p w14:paraId="1F0F0516">
      <w:pPr>
        <w:pStyle w:val="128"/>
        <w:ind w:firstLine="420"/>
        <w:rPr>
          <w:rFonts w:hint="eastAsia"/>
        </w:rPr>
      </w:pPr>
      <w:r>
        <w:rPr>
          <w:rFonts w:hint="eastAsia"/>
        </w:rPr>
        <w:t>7 行业发展环境分析</w:t>
      </w:r>
    </w:p>
    <w:p w14:paraId="50E1822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7.1 电子邮件欺诈防御SaaS行业发展趋势</w:t>
      </w:r>
    </w:p>
    <w:p w14:paraId="430FF73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7.2 电子邮件欺诈防御SaaS行业主要驱动因素</w:t>
      </w:r>
    </w:p>
    <w:p w14:paraId="10814F0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7.3 电子邮件欺诈防御SaaS中国企业SWOT分析 </w:t>
      </w:r>
    </w:p>
    <w:p w14:paraId="66CBBF0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7.4 中国电子邮件欺诈防御SaaS行业政策环境分析</w:t>
      </w:r>
    </w:p>
    <w:p w14:paraId="28D7C53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7.4.1 行业主管部门及监管体制</w:t>
      </w:r>
    </w:p>
    <w:p w14:paraId="0AF030DB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7.4.2 行业相关政策动向</w:t>
      </w:r>
    </w:p>
    <w:p w14:paraId="632EC7CF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7.4.3 行业相关规划</w:t>
      </w:r>
    </w:p>
    <w:p w14:paraId="2A7BF3D6">
      <w:pPr>
        <w:pStyle w:val="128"/>
        <w:ind w:firstLine="420"/>
        <w:rPr>
          <w:rFonts w:hint="eastAsia"/>
        </w:rPr>
      </w:pPr>
      <w:r>
        <w:rPr>
          <w:rFonts w:hint="eastAsia"/>
        </w:rPr>
        <w:t>8 行业供应链分析</w:t>
      </w:r>
    </w:p>
    <w:p w14:paraId="71BB9F1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8.1 电子邮件欺诈防御SaaS行业产业链简介</w:t>
      </w:r>
    </w:p>
    <w:p w14:paraId="4EE9FA8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8.1.1 电子邮件欺诈防御SaaS行业供应链分析</w:t>
      </w:r>
    </w:p>
    <w:p w14:paraId="1FEE491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8.1.2 电子邮件欺诈防御SaaS主要原料及供应情况</w:t>
      </w:r>
    </w:p>
    <w:p w14:paraId="15919D3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8.1.3 电子邮件欺诈防御SaaS行业主要下游客户</w:t>
      </w:r>
    </w:p>
    <w:p w14:paraId="63194C1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8.2 电子邮件欺诈防御SaaS行业采购模式</w:t>
      </w:r>
    </w:p>
    <w:p w14:paraId="64F7E70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8.3 电子邮件欺诈防御SaaS行业生产模式</w:t>
      </w:r>
    </w:p>
    <w:p w14:paraId="14CDBA6F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8.4 电子邮件欺诈防御SaaS行业销售模式及销售渠道</w:t>
      </w:r>
    </w:p>
    <w:p w14:paraId="2ADAD333">
      <w:pPr>
        <w:pStyle w:val="128"/>
        <w:ind w:firstLine="420"/>
        <w:rPr>
          <w:rFonts w:hint="eastAsia"/>
        </w:rPr>
      </w:pPr>
      <w:r>
        <w:rPr>
          <w:rFonts w:hint="eastAsia"/>
        </w:rPr>
        <w:t>9 研究结果</w:t>
      </w:r>
    </w:p>
    <w:p w14:paraId="1CBD506E">
      <w:pPr>
        <w:pStyle w:val="128"/>
        <w:ind w:firstLine="420"/>
        <w:rPr>
          <w:rFonts w:hint="eastAsia"/>
        </w:rPr>
      </w:pPr>
      <w:r>
        <w:rPr>
          <w:rFonts w:hint="eastAsia"/>
        </w:rPr>
        <w:t>10 研究方法与数据来源</w:t>
      </w:r>
    </w:p>
    <w:p w14:paraId="20229F7A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10.1 研究方法</w:t>
      </w:r>
    </w:p>
    <w:p w14:paraId="05446BB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10.2 数据来源</w:t>
      </w:r>
    </w:p>
    <w:p w14:paraId="6FE5494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10.2.1 二手信息来源</w:t>
      </w:r>
    </w:p>
    <w:p w14:paraId="6430153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10.2.2 一手信息来源</w:t>
      </w:r>
    </w:p>
    <w:p w14:paraId="51D02CAB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10.3 数据交互验证</w:t>
      </w:r>
    </w:p>
    <w:p w14:paraId="1F74C0F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10.4 免责声明</w:t>
      </w:r>
    </w:p>
    <w:p w14:paraId="0BBC82BD">
      <w:pPr>
        <w:pStyle w:val="128"/>
        <w:ind w:firstLine="420"/>
        <w:rPr>
          <w:rFonts w:hint="eastAsia"/>
        </w:rPr>
      </w:pPr>
    </w:p>
    <w:p w14:paraId="75FB49A0">
      <w:pPr>
        <w:pStyle w:val="128"/>
        <w:ind w:firstLine="420"/>
        <w:rPr>
          <w:rFonts w:hint="eastAsia"/>
        </w:rPr>
      </w:pPr>
    </w:p>
    <w:p w14:paraId="022001E3">
      <w:pPr>
        <w:pStyle w:val="128"/>
        <w:ind w:firstLine="420"/>
        <w:rPr>
          <w:rFonts w:hint="eastAsia"/>
        </w:rPr>
      </w:pPr>
      <w:r>
        <w:rPr>
          <w:rFonts w:hint="eastAsia"/>
        </w:rPr>
        <w:t>表格目录</w:t>
      </w:r>
    </w:p>
    <w:p w14:paraId="700D24F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1： 电子邮件欺诈防御SaaS行业发展主要特点</w:t>
      </w:r>
    </w:p>
    <w:p w14:paraId="1CD82DC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2： 电子邮件欺诈防御SaaS行业发展有利因素分析</w:t>
      </w:r>
    </w:p>
    <w:p w14:paraId="629CDDA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3： 电子邮件欺诈防御SaaS行业发展不利因素分析</w:t>
      </w:r>
    </w:p>
    <w:p w14:paraId="1B2B7AF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4： 进入电子邮件欺诈防御SaaS行业壁垒</w:t>
      </w:r>
    </w:p>
    <w:p w14:paraId="32BB815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5： 近三年电子邮件欺诈防御SaaS主要企业在国际市场占有率（按收入，2021-2024）</w:t>
      </w:r>
    </w:p>
    <w:p w14:paraId="6D41829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6： 2023年电子邮件欺诈防御SaaS主要企业在国际市场排名（按收入）</w:t>
      </w:r>
    </w:p>
    <w:p w14:paraId="5B0F7AD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7： 近三年全球市场主要企业电子邮件欺诈防御SaaS销售收入（2021-2024）&amp;（万元）</w:t>
      </w:r>
    </w:p>
    <w:p w14:paraId="665E17D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8： 近三年电子邮件欺诈防御SaaS主要企业在中国市场占有率（按收入，2021-2024）</w:t>
      </w:r>
    </w:p>
    <w:p w14:paraId="2D95477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9： 2023年电子邮件欺诈防御SaaS主要企业在中国市场排名（按收入）</w:t>
      </w:r>
    </w:p>
    <w:p w14:paraId="463133B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10： 近三年中国市场主要企业电子邮件欺诈防御SaaS销售收入（2021-2024）&amp;（万元）</w:t>
      </w:r>
    </w:p>
    <w:p w14:paraId="31E73C8A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11： 全球主要厂商电子邮件欺诈防御SaaS总部及产地分布</w:t>
      </w:r>
    </w:p>
    <w:p w14:paraId="672F91E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12： 全球主要厂商成立时间及电子邮件欺诈防御SaaS商业化日期</w:t>
      </w:r>
    </w:p>
    <w:p w14:paraId="08F3F49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13： 全球主要厂商电子邮件欺诈防御SaaS产品类型及应用</w:t>
      </w:r>
    </w:p>
    <w:p w14:paraId="6E707A2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14： 2023年全球电子邮件欺诈防御SaaS主要厂商市场地位（第一梯队、第二梯队和第三梯队）</w:t>
      </w:r>
    </w:p>
    <w:p w14:paraId="5F3F060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15： 全球电子邮件欺诈防御SaaS市场投资、并购等现状分析</w:t>
      </w:r>
    </w:p>
    <w:p w14:paraId="5C67A18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16： 全球主要地区电子邮件欺诈防御SaaS销售额：（2019 VS 2023 VS 2030）&amp;（万元）</w:t>
      </w:r>
    </w:p>
    <w:p w14:paraId="5C3D510A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17： 全球主要地区电子邮件欺诈防御SaaS销售额（2019-2024年）&amp;（万元）</w:t>
      </w:r>
    </w:p>
    <w:p w14:paraId="0149BD0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18： 全球主要地区电子邮件欺诈防御SaaS销售额及份额列表（2019-2024年）</w:t>
      </w:r>
    </w:p>
    <w:p w14:paraId="27F6D48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19： 全球主要地区电子邮件欺诈防御SaaS销售额预测（2025-2030）&amp;（万元）</w:t>
      </w:r>
    </w:p>
    <w:p w14:paraId="18E574E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20： 全球主要地区电子邮件欺诈防御SaaS销售额及份额列表预测（2025-2030）</w:t>
      </w:r>
    </w:p>
    <w:p w14:paraId="5620524D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21： DMARC主要企业列表</w:t>
      </w:r>
    </w:p>
    <w:p w14:paraId="305C79AB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22： SPF主要企业列表</w:t>
      </w:r>
    </w:p>
    <w:p w14:paraId="4BB03F5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23： DKIM主要企业列表</w:t>
      </w:r>
    </w:p>
    <w:p w14:paraId="1DB76DD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24： 按产品类型细分，全球电子邮件欺诈防御SaaS销售额及增长率对比（2019 VS 2023 VS 2030）&amp;（万元）</w:t>
      </w:r>
    </w:p>
    <w:p w14:paraId="7200B21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25： 按产品类型细分，全球电子邮件欺诈防御SaaS销售额（2019-2024）&amp;（万元）</w:t>
      </w:r>
    </w:p>
    <w:p w14:paraId="6E713FE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26： 按产品类型细分，全球电子邮件欺诈防御SaaS销售额市场份额列表（2019-2024）</w:t>
      </w:r>
    </w:p>
    <w:p w14:paraId="275ED53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27： 按产品类型细分，全球电子邮件欺诈防御SaaS销售额预测（2025-2030）&amp;（万元）</w:t>
      </w:r>
    </w:p>
    <w:p w14:paraId="5E7E468A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28： 按产品类型细分，全球电子邮件欺诈防御SaaS销售额市场份额预测（2025-2030）</w:t>
      </w:r>
    </w:p>
    <w:p w14:paraId="386A453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29： 按产品类型细分，中国电子邮件欺诈防御SaaS销售额（2019-2024）&amp;（万元）</w:t>
      </w:r>
    </w:p>
    <w:p w14:paraId="399D1C8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30： 按产品类型细分，中国电子邮件欺诈防御SaaS销售额市场份额列表（2019-2024）</w:t>
      </w:r>
    </w:p>
    <w:p w14:paraId="1AD22FB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31： 按产品类型细分，中国电子邮件欺诈防御SaaS销售额预测（2025-2030）&amp;（万元）</w:t>
      </w:r>
    </w:p>
    <w:p w14:paraId="26842B7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32： 按产品类型细分，中国电子邮件欺诈防御SaaS销售额市场份额预测（2025-2030）</w:t>
      </w:r>
    </w:p>
    <w:p w14:paraId="498CEF0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33： 按应用细分，全球电子邮件欺诈防御SaaS销售额及增长率对比（2019 VS 2023 VS 2030）&amp;（万元）</w:t>
      </w:r>
    </w:p>
    <w:p w14:paraId="2687D3BD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34： 按应用细分，全球电子邮件欺诈防御SaaS销售额（2019-2024）&amp;（万元）</w:t>
      </w:r>
    </w:p>
    <w:p w14:paraId="4E4BE35A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35： 按应用细分，全球电子邮件欺诈防御SaaS销售额市场份额列表（2019-2024）</w:t>
      </w:r>
    </w:p>
    <w:p w14:paraId="23ED810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36： 按应用细分，全球电子邮件欺诈防御SaaS销售额预测（2025-2030）&amp;（万元）</w:t>
      </w:r>
    </w:p>
    <w:p w14:paraId="2508D3C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37： 按应用细分，全球电子邮件欺诈防御SaaS市场份额预测（2025-2030）</w:t>
      </w:r>
    </w:p>
    <w:p w14:paraId="3EF114D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38： 中国不同应用电子邮件欺诈防御SaaS销售额（2019-2024）&amp;（万元）</w:t>
      </w:r>
    </w:p>
    <w:p w14:paraId="248839C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39： 中国不同应用电子邮件欺诈防御SaaS销售额市场份额列表（2019-2024）</w:t>
      </w:r>
    </w:p>
    <w:p w14:paraId="30E04F3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40： 中国不同应用电子邮件欺诈防御SaaS销售额预测（2025-2030）&amp;（万元）</w:t>
      </w:r>
    </w:p>
    <w:p w14:paraId="1E89ECA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41： 中国不同应用电子邮件欺诈防御SaaS销售额市场份额预测（2025-2030）</w:t>
      </w:r>
    </w:p>
    <w:p w14:paraId="5C9570CF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42： Proofpoint公司信息、总部、电子邮件欺诈防御SaaS市场地位以及主要的竞争对手</w:t>
      </w:r>
    </w:p>
    <w:p w14:paraId="7470280A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43： Proofpoint 电子邮件欺诈防御SaaS产品及服务介绍</w:t>
      </w:r>
    </w:p>
    <w:p w14:paraId="5F05E41A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44： Proofpoint 电子邮件欺诈防御SaaS收入及毛利率（2019-2024）&amp;（万元）</w:t>
      </w:r>
    </w:p>
    <w:p w14:paraId="35F5AF1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45： Proofpoint公司简介及主要业务</w:t>
      </w:r>
    </w:p>
    <w:p w14:paraId="2BB79D7D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46： Proofpoint企业最新动态</w:t>
      </w:r>
    </w:p>
    <w:p w14:paraId="3D83F34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47： Mimecast公司信息、总部、电子邮件欺诈防御SaaS市场地位以及主要的竞争对手</w:t>
      </w:r>
    </w:p>
    <w:p w14:paraId="47888C4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48： Mimecast 电子邮件欺诈防御SaaS产品及服务介绍</w:t>
      </w:r>
    </w:p>
    <w:p w14:paraId="3B1B0A6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49： Mimecast 电子邮件欺诈防御SaaS收入及毛利率（2019-2024）&amp;（万元）</w:t>
      </w:r>
    </w:p>
    <w:p w14:paraId="4B75AD9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50： Mimecast公司简介及主要业务</w:t>
      </w:r>
    </w:p>
    <w:p w14:paraId="72516CE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51： Mimecast企业最新动态</w:t>
      </w:r>
    </w:p>
    <w:p w14:paraId="669388B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52： Barracuda Networks公司信息、总部、电子邮件欺诈防御SaaS市场地位以及主要的竞争对手</w:t>
      </w:r>
    </w:p>
    <w:p w14:paraId="2BC72CD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53： Barracuda Networks 电子邮件欺诈防御SaaS产品及服务介绍</w:t>
      </w:r>
    </w:p>
    <w:p w14:paraId="398A83EA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54： Barracuda Networks 电子邮件欺诈防御SaaS收入及毛利率（2019-2024）&amp;（万元）</w:t>
      </w:r>
    </w:p>
    <w:p w14:paraId="5EEB498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55： Barracuda Networks公司简介及主要业务</w:t>
      </w:r>
    </w:p>
    <w:p w14:paraId="4377A86B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56： Barracuda Networks企业最新动态</w:t>
      </w:r>
    </w:p>
    <w:p w14:paraId="0645CDE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57： Redsift公司信息、总部、电子邮件欺诈防御SaaS市场地位以及主要的竞争对手</w:t>
      </w:r>
    </w:p>
    <w:p w14:paraId="1611A06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58： Redsift 电子邮件欺诈防御SaaS产品及服务介绍</w:t>
      </w:r>
    </w:p>
    <w:p w14:paraId="7D29D19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59： Redsift 电子邮件欺诈防御SaaS收入及毛利率（2019-2024）&amp;（万元）</w:t>
      </w:r>
    </w:p>
    <w:p w14:paraId="5E77770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60： Redsift公司简介及主要业务</w:t>
      </w:r>
    </w:p>
    <w:p w14:paraId="135E486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61： Valimail公司信息、总部、电子邮件欺诈防御SaaS市场地位以及主要的竞争对手</w:t>
      </w:r>
    </w:p>
    <w:p w14:paraId="166A895A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62： Valimail 电子邮件欺诈防御SaaS产品及服务介绍</w:t>
      </w:r>
    </w:p>
    <w:p w14:paraId="16741C9F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63： Valimail 电子邮件欺诈防御SaaS收入及毛利率（2019-2024）&amp;（万元）</w:t>
      </w:r>
    </w:p>
    <w:p w14:paraId="33FFE49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64： Valimail公司简介及主要业务</w:t>
      </w:r>
    </w:p>
    <w:p w14:paraId="31D1CF3D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65： Valimail企业最新动态</w:t>
      </w:r>
    </w:p>
    <w:p w14:paraId="06C877C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66： EasyDMARC公司信息、总部、电子邮件欺诈防御SaaS市场地位以及主要的竞争对手</w:t>
      </w:r>
    </w:p>
    <w:p w14:paraId="0C2B56E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67： EasyDMARC 电子邮件欺诈防御SaaS产品及服务介绍</w:t>
      </w:r>
    </w:p>
    <w:p w14:paraId="4922747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68： EasyDMARC 电子邮件欺诈防御SaaS收入及毛利率（2019-2024）&amp;（万元）</w:t>
      </w:r>
    </w:p>
    <w:p w14:paraId="5B508ECA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69： EasyDMARC公司简介及主要业务</w:t>
      </w:r>
    </w:p>
    <w:p w14:paraId="3CF62C9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70： EasyDMARC企业最新动态</w:t>
      </w:r>
    </w:p>
    <w:p w14:paraId="68AD8C8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71： Fortra公司信息、总部、电子邮件欺诈防御SaaS市场地位以及主要的竞争对手</w:t>
      </w:r>
    </w:p>
    <w:p w14:paraId="6CBE868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72： Fortra 电子邮件欺诈防御SaaS产品及服务介绍</w:t>
      </w:r>
    </w:p>
    <w:p w14:paraId="54DBED4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73： Fortra 电子邮件欺诈防御SaaS收入及毛利率（2019-2024）&amp;（万元）</w:t>
      </w:r>
    </w:p>
    <w:p w14:paraId="298CBA2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74： Fortra公司简介及主要业务</w:t>
      </w:r>
    </w:p>
    <w:p w14:paraId="49FECD8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75： Fortra企业最新动态</w:t>
      </w:r>
    </w:p>
    <w:p w14:paraId="44FD6FF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76： dmarcian公司信息、总部、电子邮件欺诈防御SaaS市场地位以及主要的竞争对手</w:t>
      </w:r>
    </w:p>
    <w:p w14:paraId="406D140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77： dmarcian 电子邮件欺诈防御SaaS产品及服务介绍</w:t>
      </w:r>
    </w:p>
    <w:p w14:paraId="188F1A5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78： dmarcian 电子邮件欺诈防御SaaS收入及毛利率（2019-2024）&amp;（万元）</w:t>
      </w:r>
    </w:p>
    <w:p w14:paraId="78EEBE0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79： dmarcian公司简介及主要业务</w:t>
      </w:r>
    </w:p>
    <w:p w14:paraId="33AB85F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80： dmarcian企业最新动态</w:t>
      </w:r>
    </w:p>
    <w:p w14:paraId="3E5376BF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81： DuoCircle公司信息、总部、电子邮件欺诈防御SaaS市场地位以及主要的竞争对手</w:t>
      </w:r>
    </w:p>
    <w:p w14:paraId="6812212B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82： DuoCircle 电子邮件欺诈防御SaaS产品及服务介绍</w:t>
      </w:r>
    </w:p>
    <w:p w14:paraId="42A52B1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83： DuoCircle 电子邮件欺诈防御SaaS收入及毛利率（2019-2024）&amp;（万元）</w:t>
      </w:r>
    </w:p>
    <w:p w14:paraId="6AC66CE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84： DuoCircle公司简介及主要业务</w:t>
      </w:r>
    </w:p>
    <w:p w14:paraId="4B4928B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85： DuoCircle企业最新动态</w:t>
      </w:r>
    </w:p>
    <w:p w14:paraId="14DD0F9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86： ZeroBounce公司信息、总部、电子邮件欺诈防御SaaS市场地位以及主要的竞争对手</w:t>
      </w:r>
    </w:p>
    <w:p w14:paraId="43C068A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87： ZeroBounce 电子邮件欺诈防御SaaS产品及服务介绍</w:t>
      </w:r>
    </w:p>
    <w:p w14:paraId="32ECC4FB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88： ZeroBounce 电子邮件欺诈防御SaaS收入及毛利率（2019-2024）&amp;（万元）</w:t>
      </w:r>
    </w:p>
    <w:p w14:paraId="4661D45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89： ZeroBounce公司简介及主要业务</w:t>
      </w:r>
    </w:p>
    <w:p w14:paraId="0499994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90： ZeroBounce企业最新动态</w:t>
      </w:r>
    </w:p>
    <w:p w14:paraId="3158F30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91： LIBRAESVA公司信息、总部、电子邮件欺诈防御SaaS市场地位以及主要的竞争对手</w:t>
      </w:r>
    </w:p>
    <w:p w14:paraId="11D29B0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92： LIBRAESVA 电子邮件欺诈防御SaaS产品及服务介绍</w:t>
      </w:r>
    </w:p>
    <w:p w14:paraId="5DD794E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93： LIBRAESVA 电子邮件欺诈防御SaaS收入及毛利率（2019-2024）&amp;（万元）</w:t>
      </w:r>
    </w:p>
    <w:p w14:paraId="7484AE2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94： LIBRAESVA公司简介及主要业务</w:t>
      </w:r>
    </w:p>
    <w:p w14:paraId="3A1813B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95： LIBRAESVA企业最新动态</w:t>
      </w:r>
    </w:p>
    <w:p w14:paraId="55558C6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96： Report URI公司信息、总部、电子邮件欺诈防御SaaS市场地位以及主要的竞争对手</w:t>
      </w:r>
    </w:p>
    <w:p w14:paraId="16CAF56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97： Report URI 电子邮件欺诈防御SaaS产品及服务介绍</w:t>
      </w:r>
    </w:p>
    <w:p w14:paraId="22CBBB1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98： Report URI 电子邮件欺诈防御SaaS收入及毛利率（2019-2024）&amp;（万元）</w:t>
      </w:r>
    </w:p>
    <w:p w14:paraId="333CCD0F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99： Report URI公司简介及主要业务</w:t>
      </w:r>
    </w:p>
    <w:p w14:paraId="5081B66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100： Report URI企业最新动态</w:t>
      </w:r>
    </w:p>
    <w:p w14:paraId="35AA690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101： 电子邮件欺诈防御SaaS行业发展趋势</w:t>
      </w:r>
    </w:p>
    <w:p w14:paraId="40AFE7E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102： 电子邮件欺诈防御SaaS行业主要驱动因素</w:t>
      </w:r>
    </w:p>
    <w:p w14:paraId="3C17052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103： 电子邮件欺诈防御SaaS行业供应链分析</w:t>
      </w:r>
    </w:p>
    <w:p w14:paraId="62930C0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104： 电子邮件欺诈防御SaaS上游原料供应商</w:t>
      </w:r>
    </w:p>
    <w:p w14:paraId="1F2158F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105： 电子邮件欺诈防御SaaS行业主要下游客户</w:t>
      </w:r>
    </w:p>
    <w:p w14:paraId="1412A5A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106： 电子邮件欺诈防御SaaS典型经销商</w:t>
      </w:r>
    </w:p>
    <w:p w14:paraId="1DA8CF0F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107： 研究范围</w:t>
      </w:r>
    </w:p>
    <w:p w14:paraId="4F42AED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108： 本文分析师列表</w:t>
      </w:r>
    </w:p>
    <w:p w14:paraId="2AD686A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109： QYResearch主要业务单元及分析师列表</w:t>
      </w:r>
    </w:p>
    <w:p w14:paraId="00689143">
      <w:pPr>
        <w:pStyle w:val="128"/>
        <w:ind w:firstLine="420"/>
        <w:rPr>
          <w:rFonts w:hint="eastAsia"/>
        </w:rPr>
      </w:pPr>
    </w:p>
    <w:p w14:paraId="02C5EEB0">
      <w:pPr>
        <w:pStyle w:val="128"/>
        <w:ind w:firstLine="420"/>
        <w:rPr>
          <w:rFonts w:hint="eastAsia"/>
        </w:rPr>
      </w:pPr>
    </w:p>
    <w:p w14:paraId="1BC18811">
      <w:pPr>
        <w:pStyle w:val="128"/>
        <w:ind w:firstLine="420"/>
        <w:rPr>
          <w:rFonts w:hint="eastAsia"/>
        </w:rPr>
      </w:pPr>
      <w:r>
        <w:rPr>
          <w:rFonts w:hint="eastAsia"/>
        </w:rPr>
        <w:t>图表目录</w:t>
      </w:r>
    </w:p>
    <w:p w14:paraId="0693C18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1： 电子邮件欺诈防御SaaS产品图片</w:t>
      </w:r>
    </w:p>
    <w:p w14:paraId="444BDF0D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2： 全球市场电子邮件欺诈防御SaaS市场规模, 2019 VS 2023 VS 2030（万元）</w:t>
      </w:r>
    </w:p>
    <w:p w14:paraId="76D6EFDB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3： 全球电子邮件欺诈防御SaaS市场销售额预测:（万元）&amp;（2019-2030）</w:t>
      </w:r>
    </w:p>
    <w:p w14:paraId="29D5558B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4： 中国市场电子邮件欺诈防御SaaS销售额及未来趋势（2019-2030）&amp;（万元）</w:t>
      </w:r>
    </w:p>
    <w:p w14:paraId="4A132FBF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5： 2023年全球前五大厂商电子邮件欺诈防御SaaS市场份额</w:t>
      </w:r>
    </w:p>
    <w:p w14:paraId="47A3602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6： 2023年全球电子邮件欺诈防御SaaS第一梯队、第二梯队和第三梯队厂商及市场份额</w:t>
      </w:r>
    </w:p>
    <w:p w14:paraId="4C55610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7： 全球主要地区电子邮件欺诈防御SaaS销售额市场份额（2019 VS 2023）</w:t>
      </w:r>
    </w:p>
    <w:p w14:paraId="67628C0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8： 北美电子邮件欺诈防御SaaS销售额及预测（2019-2030）&amp;（万元）</w:t>
      </w:r>
    </w:p>
    <w:p w14:paraId="497DB25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9： 欧洲电子邮件欺诈防御SaaS销售额及预测（2019-2030）&amp;（万元）</w:t>
      </w:r>
    </w:p>
    <w:p w14:paraId="614B678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10： 中国电子邮件欺诈防御SaaS销售额及预测（2019-2030）&amp;（万元）</w:t>
      </w:r>
    </w:p>
    <w:p w14:paraId="2F90DC6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11： 日本电子邮件欺诈防御SaaS销售额及预测（2019-2030）&amp;（万元）</w:t>
      </w:r>
    </w:p>
    <w:p w14:paraId="0246788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12： 东南亚电子邮件欺诈防御SaaS销售额及预测（2019-2030）&amp;（万元）</w:t>
      </w:r>
    </w:p>
    <w:p w14:paraId="0CC71FD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13： 印度电子邮件欺诈防御SaaS销售额及预测（2019-2030）&amp;（万元）</w:t>
      </w:r>
    </w:p>
    <w:p w14:paraId="61451B8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14： DMARC 产品图片</w:t>
      </w:r>
    </w:p>
    <w:p w14:paraId="71C14C4D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15： 全球DMARC规模及增长率（2019-2030）&amp;（万元）</w:t>
      </w:r>
    </w:p>
    <w:p w14:paraId="73E8CB8A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16： SPF产品图片</w:t>
      </w:r>
    </w:p>
    <w:p w14:paraId="549A7CE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17： 全球SPF规模及增长率（2019-2030）&amp;（万元）</w:t>
      </w:r>
    </w:p>
    <w:p w14:paraId="718A7FE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18： DKIM产品图片</w:t>
      </w:r>
    </w:p>
    <w:p w14:paraId="3BF265B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19： 全球DKIM规模及增长率（2019-2030）&amp;（万元）</w:t>
      </w:r>
    </w:p>
    <w:p w14:paraId="422ADCA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20： 按产品类型细分，全球电子邮件欺诈防御SaaS市场份额2023 &amp; 2030</w:t>
      </w:r>
    </w:p>
    <w:p w14:paraId="05AD9EA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21： 按产品类型细分，全球电子邮件欺诈防御SaaS市场份额2019 &amp; 2023</w:t>
      </w:r>
    </w:p>
    <w:p w14:paraId="0F38136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22： 按产品类型细分，全球电子邮件欺诈防御SaaS市场份额预测2025 &amp; 2030</w:t>
      </w:r>
    </w:p>
    <w:p w14:paraId="7C20346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23： 按产品类型细分，中国电子邮件欺诈防御SaaS市场份额2019 &amp; 2023</w:t>
      </w:r>
    </w:p>
    <w:p w14:paraId="5DDC62C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24： 按产品类型细分，中国电子邮件欺诈防御SaaS市场份额预测2025 &amp; 2030</w:t>
      </w:r>
    </w:p>
    <w:p w14:paraId="247E501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25： 金融机构</w:t>
      </w:r>
    </w:p>
    <w:p w14:paraId="00D4DC5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26： 科技公司</w:t>
      </w:r>
    </w:p>
    <w:p w14:paraId="4B44E77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27： 政府机构</w:t>
      </w:r>
    </w:p>
    <w:p w14:paraId="6D773FAF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28： 教育机构</w:t>
      </w:r>
    </w:p>
    <w:p w14:paraId="12E6C67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29： 医疗保健组织</w:t>
      </w:r>
    </w:p>
    <w:p w14:paraId="0F9BC9C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30： 其他</w:t>
      </w:r>
    </w:p>
    <w:p w14:paraId="4175809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31： 按应用细分，全球电子邮件欺诈防御SaaS市场份额2023 VS 2030</w:t>
      </w:r>
    </w:p>
    <w:p w14:paraId="3A0B409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32： 按应用细分，全球电子邮件欺诈防御SaaS市场份额2019 &amp; 2023</w:t>
      </w:r>
    </w:p>
    <w:p w14:paraId="474E5B0B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33： 电子邮件欺诈防御SaaS中国企业SWOT分析</w:t>
      </w:r>
    </w:p>
    <w:p w14:paraId="0591D90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34： 电子邮件欺诈防御SaaS产业链</w:t>
      </w:r>
    </w:p>
    <w:p w14:paraId="4DF9D04B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35： 电子邮件欺诈防御SaaS行业采购模式分析</w:t>
      </w:r>
    </w:p>
    <w:p w14:paraId="6AE9714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36： 电子邮件欺诈防御SaaS行业生产模式</w:t>
      </w:r>
    </w:p>
    <w:p w14:paraId="6237283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37： 电子邮件欺诈防御SaaS行业销售模式分析</w:t>
      </w:r>
    </w:p>
    <w:p w14:paraId="27B5597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38： 关键采访目标</w:t>
      </w:r>
    </w:p>
    <w:p w14:paraId="6819969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39： 自下而上及自上而下验证</w:t>
      </w:r>
    </w:p>
    <w:p w14:paraId="3983B49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40： 资料三角测定</w:t>
      </w:r>
    </w:p>
    <w:p w14:paraId="6F3FC960">
      <w:pPr>
        <w:pStyle w:val="128"/>
        <w:ind w:firstLine="420"/>
        <w:rPr>
          <w:rFonts w:hint="eastAsia"/>
          <w:lang w:eastAsia="zh-CN"/>
        </w:rPr>
      </w:pPr>
    </w:p>
    <w:sectPr>
      <w:headerReference r:id="rId4" w:type="default"/>
      <w:footerReference r:id="rId5" w:type="default"/>
      <w:pgSz w:w="11906" w:h="16838"/>
      <w:pgMar w:top="1418" w:right="1077" w:bottom="1134" w:left="1077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手头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50807E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8pt;margin-top:733.65pt;height:26.75pt;width:87.85pt;mso-position-horizontal-relative:margin;mso-position-vertical-relative:margin;mso-wrap-distance-bottom:0pt;mso-wrap-distance-left:9pt;mso-wrap-distance-right:9pt;mso-wrap-distance-top:0pt;z-index:251659264;mso-width-relative:page;mso-height-relative:page;" filled="f" stroked="f" coordsize="21600,21600" o:gfxdata="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UwX+EN4AAAANAQAADwAAAAAAAAABACAAAAAi&#10;AAAAZHJzL2Rvd25yZXYueG1sUEsBAhQAFAAAAAgAh07iQErZoNcEAgAADAQAAA4AAAAAAAAAAQAg&#10;AAAALQEAAGRycy9lMm9Eb2MueG1sUEsFBgAAAAAGAAYAWQEAAKMFAAAAAA==&#10;">
              <v:fill on="f" focussize="0,0"/>
              <v:stroke on="f"/>
              <v:imagedata o:title=""/>
              <o:lock v:ext="edit" aspectratio="f"/>
              <v:textbox>
                <w:txbxContent>
                  <w:p w14:paraId="4204960E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column">
                <wp:posOffset>-43815</wp:posOffset>
              </wp:positionH>
              <wp:positionV relativeFrom="paragraph">
                <wp:posOffset>29845</wp:posOffset>
              </wp:positionV>
              <wp:extent cx="6315710" cy="4445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3.45pt;margin-top:2.35pt;height:0.35pt;width:497.3pt;z-index:251666432;mso-width-relative:page;mso-height-relative:page;" filled="f" stroked="t" coordsize="21600,21600" o:gfxdata="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QPu1U1gAAAAYBAAAPAAAAAAAAAAEAIAAAACIAAABkcnMvZG93bnJldi54bWxQSwECFAAU&#10;AAAACACHTuJAdECXZ/MBAAC+AwAADgAAAAAAAAABACAAAAAlAQAAZHJzL2Uyb0RvYy54bWxQSwUG&#10;AAAAAAYABgBZAQAAig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D70C14">
    <w:pPr>
      <w:rPr>
        <w:rFonts w:eastAsia="黑体"/>
      </w:rPr>
    </w:pPr>
    <w:bookmarkStart w:id="13" w:name="_Hlk39682314"/>
    <w:bookmarkStart w:id="14" w:name="_Hlk39682313"/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459CBB3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</w:p>
                        <w:p w14:paraId="0B89632B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0.45pt;margin-top:-19.55pt;height:28.1pt;width:483.75pt;mso-position-horizontal-relative:margin;mso-wrap-distance-bottom:3.6pt;mso-wrap-distance-left:9pt;mso-wrap-distance-right:9pt;mso-wrap-distance-top:3.6pt;z-index:251661312;v-text-anchor:middle;mso-width-relative:page;mso-height-relative:page;" filled="f" stroked="f" coordsize="21600,21600" o:gfxdata="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Oms0pnXAAAACAEA&#10;AA8AAAAAAAAAAQAgAAAAIgAAAGRycy9kb3ducmV2LnhtbFBLAQIUABQAAAAIAIdO4kDNP8nwGwIA&#10;ADkEAAAOAAAAAAAAAAEAIAAAACYBAABkcnMvZTJvRG9jLnhtbFBLBQYAAAAABgAGAFkBAACzBQAA&#10;AAA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459CBB3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</w:p>
                  <w:p w14:paraId="0B89632B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128270</wp:posOffset>
              </wp:positionV>
              <wp:extent cx="6315710" cy="4445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35pt;margin-top:10.1pt;height:0.35pt;width:497.3pt;z-index:251663360;mso-width-relative:page;mso-height-relative:page;" filled="f" stroked="t" coordsize="21600,21600" o:gfxdata="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0tOpG9gAAAAJAQAADwAAAAAAAAABACAAAAAiAAAAZHJzL2Rvd25yZXYueG1sUEsB&#10;AhQAFAAAAAgAh07iQBy4Bqz1AQAAwAMAAA4AAAAAAAAAAQAgAAAAJwEAAGRycy9lMm9Eb2MueG1s&#10;UEsFBgAAAAAGAAYAWQEAAI4FAAAAAA==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  <w:bookmarkEnd w:id="13"/>
    <w:bookmarkEnd w:id="14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30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32"/>
      <w:suff w:val="nothing"/>
      <w:lvlText w:val="表 %1："/>
      <w:lvlJc w:val="left"/>
      <w:pPr>
        <w:ind w:left="357" w:hanging="357"/>
      </w:pPr>
      <w:rPr>
        <w:rFonts w:hint="default" w:ascii="Times New Roman" w:hAnsi="Times New Roman" w:eastAsia="手头"/>
        <w:b/>
        <w:i w:val="0"/>
        <w:color w:val="FFA300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258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1A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420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AB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2E5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8AF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88"/>
    <w:rsid w:val="000B18B5"/>
    <w:rsid w:val="000B18EE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50A"/>
    <w:rsid w:val="000C4681"/>
    <w:rsid w:val="000C471F"/>
    <w:rsid w:val="000C4891"/>
    <w:rsid w:val="000C4B91"/>
    <w:rsid w:val="000C4F50"/>
    <w:rsid w:val="000C5002"/>
    <w:rsid w:val="000C514C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0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3A1"/>
    <w:rsid w:val="000E1551"/>
    <w:rsid w:val="000E180B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863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1BC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25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5FCC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84E"/>
    <w:rsid w:val="001B098A"/>
    <w:rsid w:val="001B0AE0"/>
    <w:rsid w:val="001B0D7F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CFD"/>
    <w:rsid w:val="001C4D8A"/>
    <w:rsid w:val="001C4E1F"/>
    <w:rsid w:val="001C4F49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286"/>
    <w:rsid w:val="001C72BD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8A9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6B4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8C6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2C58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5F73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3FCF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AAC"/>
    <w:rsid w:val="003A7C0C"/>
    <w:rsid w:val="003B021D"/>
    <w:rsid w:val="003B045B"/>
    <w:rsid w:val="003B0D75"/>
    <w:rsid w:val="003B0FE7"/>
    <w:rsid w:val="003B0FF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36E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B80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299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BA8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117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3F1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25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4D1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0C72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B0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45E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6CE0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55A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4BB8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C9B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8B0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1AB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D8C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56B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2C3"/>
    <w:rsid w:val="00713339"/>
    <w:rsid w:val="00713407"/>
    <w:rsid w:val="00713508"/>
    <w:rsid w:val="00713CDF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0FF5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3B5C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67E62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47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38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63B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4C8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AC6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3E8B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510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8B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ACA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0F7D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D19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7FE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3EF6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2F96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40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B87"/>
    <w:rsid w:val="008C3D7E"/>
    <w:rsid w:val="008C3E4D"/>
    <w:rsid w:val="008C4361"/>
    <w:rsid w:val="008C43F9"/>
    <w:rsid w:val="008C4776"/>
    <w:rsid w:val="008C4A8B"/>
    <w:rsid w:val="008C4C26"/>
    <w:rsid w:val="008C4DE3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C61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C49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3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9AE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3FB6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617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A67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AD2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9F9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055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7AA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5EC2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009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892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67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411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E8F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8BD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27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5A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3BE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F8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84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150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DC3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1C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2BEE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75D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B02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6E38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0F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096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150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D34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4F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071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4F00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5C1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5DBE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3FED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B5F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3C68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286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2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4CA8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82C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127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  <w:rsid w:val="02885410"/>
    <w:rsid w:val="0FC701EB"/>
    <w:rsid w:val="14D41B46"/>
    <w:rsid w:val="17354AD5"/>
    <w:rsid w:val="33E87BD1"/>
    <w:rsid w:val="36180457"/>
    <w:rsid w:val="3A7B1887"/>
    <w:rsid w:val="45C0542D"/>
    <w:rsid w:val="4AB4335F"/>
    <w:rsid w:val="4D996B25"/>
    <w:rsid w:val="5C731A2A"/>
    <w:rsid w:val="618B1255"/>
    <w:rsid w:val="6D887AA2"/>
    <w:rsid w:val="7F145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unhideWhenUsed="0" w:uiPriority="20" w:semiHidden="0" w:name="Emphasis"/>
    <w:lsdException w:qFormat="1" w:unhideWhenUsed="0" w:uiPriority="0" w:semiHidden="0" w:name="Document Map"/>
    <w:lsdException w:uiPriority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99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before="40" w:after="40"/>
      <w:jc w:val="both"/>
    </w:pPr>
    <w:rPr>
      <w:rFonts w:ascii="Times New Roman" w:hAnsi="Times New Roman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69"/>
    <w:autoRedefine/>
    <w:qFormat/>
    <w:uiPriority w:val="0"/>
    <w:pPr>
      <w:keepNext/>
      <w:keepLines/>
      <w:pageBreakBefore/>
      <w:widowControl/>
      <w:numPr>
        <w:ilvl w:val="0"/>
        <w:numId w:val="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3">
    <w:name w:val="heading 2"/>
    <w:basedOn w:val="1"/>
    <w:next w:val="1"/>
    <w:link w:val="70"/>
    <w:autoRedefine/>
    <w:qFormat/>
    <w:uiPriority w:val="0"/>
    <w:pPr>
      <w:keepNext/>
      <w:keepLines/>
      <w:numPr>
        <w:ilvl w:val="1"/>
        <w:numId w:val="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71"/>
    <w:autoRedefine/>
    <w:qFormat/>
    <w:uiPriority w:val="0"/>
    <w:pPr>
      <w:keepNext/>
      <w:keepLines/>
      <w:numPr>
        <w:ilvl w:val="2"/>
        <w:numId w:val="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72"/>
    <w:qFormat/>
    <w:uiPriority w:val="0"/>
    <w:pPr>
      <w:keepNext/>
      <w:keepLines/>
      <w:numPr>
        <w:ilvl w:val="3"/>
        <w:numId w:val="1"/>
      </w:numPr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73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74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default="1" w:styleId="64">
    <w:name w:val="Default Paragraph Font"/>
    <w:semiHidden/>
    <w:unhideWhenUsed/>
    <w:qFormat/>
    <w:uiPriority w:val="1"/>
  </w:style>
  <w:style w:type="table" w:default="1" w:styleId="3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9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10">
    <w:name w:val="Document Map"/>
    <w:basedOn w:val="1"/>
    <w:link w:val="85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1">
    <w:name w:val="annotation text"/>
    <w:basedOn w:val="1"/>
    <w:link w:val="108"/>
    <w:unhideWhenUsed/>
    <w:qFormat/>
    <w:uiPriority w:val="0"/>
    <w:pPr>
      <w:jc w:val="left"/>
    </w:pPr>
  </w:style>
  <w:style w:type="paragraph" w:styleId="12">
    <w:name w:val="Body Text"/>
    <w:basedOn w:val="1"/>
    <w:link w:val="103"/>
    <w:qFormat/>
    <w:uiPriority w:val="1"/>
    <w:pPr>
      <w:jc w:val="left"/>
    </w:pPr>
    <w:rPr>
      <w:rFonts w:ascii="Arial" w:hAnsi="Arial" w:eastAsia="Arial" w:cs="Arial"/>
      <w:kern w:val="0"/>
      <w:sz w:val="53"/>
      <w:szCs w:val="53"/>
      <w:lang w:eastAsia="en-US"/>
    </w:rPr>
  </w:style>
  <w:style w:type="paragraph" w:styleId="13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4">
    <w:name w:val="toc 3"/>
    <w:basedOn w:val="1"/>
    <w:next w:val="1"/>
    <w:autoRedefine/>
    <w:qFormat/>
    <w:uiPriority w:val="39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5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6">
    <w:name w:val="Date"/>
    <w:basedOn w:val="1"/>
    <w:next w:val="1"/>
    <w:link w:val="112"/>
    <w:qFormat/>
    <w:uiPriority w:val="0"/>
    <w:pPr>
      <w:ind w:left="100" w:leftChars="2500"/>
    </w:pPr>
  </w:style>
  <w:style w:type="paragraph" w:styleId="17">
    <w:name w:val="endnote text"/>
    <w:basedOn w:val="1"/>
    <w:link w:val="123"/>
    <w:semiHidden/>
    <w:unhideWhenUsed/>
    <w:qFormat/>
    <w:uiPriority w:val="99"/>
    <w:pPr>
      <w:snapToGrid w:val="0"/>
      <w:jc w:val="left"/>
    </w:pPr>
  </w:style>
  <w:style w:type="paragraph" w:styleId="18">
    <w:name w:val="Balloon Text"/>
    <w:basedOn w:val="1"/>
    <w:link w:val="98"/>
    <w:unhideWhenUsed/>
    <w:qFormat/>
    <w:uiPriority w:val="99"/>
    <w:rPr>
      <w:rFonts w:ascii="Arial" w:hAnsi="Arial" w:cs="Arial"/>
      <w:kern w:val="0"/>
      <w:sz w:val="18"/>
      <w:szCs w:val="18"/>
      <w:lang w:eastAsia="en-US"/>
    </w:rPr>
  </w:style>
  <w:style w:type="paragraph" w:styleId="19">
    <w:name w:val="footer"/>
    <w:basedOn w:val="1"/>
    <w:link w:val="7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header"/>
    <w:basedOn w:val="1"/>
    <w:link w:val="7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toc 1"/>
    <w:basedOn w:val="1"/>
    <w:next w:val="1"/>
    <w:autoRedefine/>
    <w:qFormat/>
    <w:uiPriority w:val="39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color w:val="174A7C"/>
      <w:kern w:val="0"/>
      <w:szCs w:val="24"/>
      <w:lang w:val="en-IN" w:eastAsia="en-US"/>
    </w:rPr>
  </w:style>
  <w:style w:type="paragraph" w:styleId="22">
    <w:name w:val="toc 4"/>
    <w:basedOn w:val="1"/>
    <w:next w:val="1"/>
    <w:autoRedefine/>
    <w:qFormat/>
    <w:uiPriority w:val="39"/>
    <w:pPr>
      <w:ind w:left="300" w:leftChars="300"/>
    </w:pPr>
    <w:rPr>
      <w:color w:val="203864" w:themeColor="accent5" w:themeShade="80"/>
    </w:rPr>
  </w:style>
  <w:style w:type="paragraph" w:styleId="23">
    <w:name w:val="Subtitle"/>
    <w:basedOn w:val="1"/>
    <w:next w:val="1"/>
    <w:link w:val="95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4">
    <w:name w:val="toc 6"/>
    <w:basedOn w:val="1"/>
    <w:next w:val="1"/>
    <w:autoRedefine/>
    <w:unhideWhenUsed/>
    <w:qFormat/>
    <w:uiPriority w:val="39"/>
  </w:style>
  <w:style w:type="paragraph" w:styleId="25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hAnsi="Times New Roman" w:eastAsia="宋体" w:cstheme="minorBidi"/>
      <w:kern w:val="2"/>
      <w:sz w:val="21"/>
      <w:szCs w:val="20"/>
      <w:lang w:val="en-US" w:eastAsia="zh-CN" w:bidi="ar-SA"/>
    </w:rPr>
  </w:style>
  <w:style w:type="paragraph" w:styleId="26">
    <w:name w:val="toc 2"/>
    <w:basedOn w:val="1"/>
    <w:next w:val="1"/>
    <w:link w:val="88"/>
    <w:autoRedefine/>
    <w:qFormat/>
    <w:uiPriority w:val="39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paragraph" w:styleId="27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2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29">
    <w:name w:val="Title"/>
    <w:basedOn w:val="1"/>
    <w:next w:val="1"/>
    <w:link w:val="92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0">
    <w:name w:val="annotation subject"/>
    <w:basedOn w:val="1"/>
    <w:next w:val="1"/>
    <w:link w:val="110"/>
    <w:qFormat/>
    <w:uiPriority w:val="0"/>
    <w:pPr>
      <w:jc w:val="left"/>
    </w:pPr>
    <w:rPr>
      <w:b/>
      <w:bCs/>
    </w:rPr>
  </w:style>
  <w:style w:type="table" w:styleId="32">
    <w:name w:val="Table Grid"/>
    <w:basedOn w:val="31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3">
    <w:name w:val="Table Colorful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4">
    <w:name w:val="Table Classic 1"/>
    <w:basedOn w:val="3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5">
    <w:name w:val="Table Columns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6">
    <w:name w:val="Table Columns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7">
    <w:name w:val="Table Columns 5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8">
    <w:name w:val="Table Grid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39">
    <w:name w:val="Table Grid 4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0">
    <w:name w:val="Table Grid 8"/>
    <w:basedOn w:val="31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nwCell">
      <w:pPr>
        <w:jc w:val="both"/>
      </w:pPr>
    </w:tblStylePr>
  </w:style>
  <w:style w:type="table" w:styleId="41">
    <w:name w:val="Light List"/>
    <w:basedOn w:val="31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2">
    <w:name w:val="Light List Accent 2"/>
    <w:basedOn w:val="31"/>
    <w:unhideWhenUsed/>
    <w:qFormat/>
    <w:uiPriority w:val="61"/>
    <w:tblPr>
      <w:tblBorders>
        <w:top w:val="single" w:color="77ACDC" w:themeColor="accent2" w:sz="8" w:space="0"/>
        <w:left w:val="single" w:color="77ACDC" w:themeColor="accent2" w:sz="8" w:space="0"/>
        <w:bottom w:val="single" w:color="77ACDC" w:themeColor="accent2" w:sz="8" w:space="0"/>
        <w:right w:val="single" w:color="77ACDC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7ACDC" w:themeColor="accent2" w:sz="6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band1Horz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</w:style>
  <w:style w:type="table" w:styleId="43">
    <w:name w:val="Light List Accent 3"/>
    <w:basedOn w:val="31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4">
    <w:name w:val="Light List Accent 4"/>
    <w:basedOn w:val="31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5">
    <w:name w:val="Light List Accent 5"/>
    <w:basedOn w:val="31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6">
    <w:name w:val="Medium Shading 1"/>
    <w:basedOn w:val="31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1"/>
    <w:basedOn w:val="31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8">
    <w:name w:val="Medium Shading 1 Accent 2"/>
    <w:basedOn w:val="31"/>
    <w:unhideWhenUsed/>
    <w:qFormat/>
    <w:uiPriority w:val="63"/>
    <w:tblPr>
      <w:tblBorders>
        <w:top w:val="single" w:color="99C0E4" w:themeColor="accent2" w:themeTint="BF" w:sz="8" w:space="0"/>
        <w:left w:val="single" w:color="99C0E4" w:themeColor="accent2" w:themeTint="BF" w:sz="8" w:space="0"/>
        <w:bottom w:val="single" w:color="99C0E4" w:themeColor="accent2" w:themeTint="BF" w:sz="8" w:space="0"/>
        <w:right w:val="single" w:color="99C0E4" w:themeColor="accent2" w:themeTint="BF" w:sz="8" w:space="0"/>
        <w:insideH w:val="single" w:color="99C0E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9C0E4" w:themeColor="accent2" w:themeTint="BF" w:sz="8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9C0E4" w:themeColor="accent2" w:themeTint="BF" w:sz="6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3"/>
    <w:basedOn w:val="31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4"/>
    <w:basedOn w:val="31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5"/>
    <w:basedOn w:val="31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2 Accent 2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3">
    <w:name w:val="Medium Shading 2 Accent 3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4">
    <w:name w:val="Medium Shading 2 Accent 5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5">
    <w:name w:val="Medium Grid 1 Accent 3"/>
    <w:basedOn w:val="31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6">
    <w:name w:val="Medium Grid 3 Accent 1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57">
    <w:name w:val="Medium Grid 3 Accent 3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58">
    <w:name w:val="Dark List Accent 3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59">
    <w:name w:val="Dark List Accent 4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0">
    <w:name w:val="Dark List Accent 5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1">
    <w:name w:val="Colorful Grid"/>
    <w:basedOn w:val="31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2">
    <w:name w:val="Colorful Grid Accent 3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3">
    <w:name w:val="Colorful Grid Accent 5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5">
    <w:name w:val="Strong"/>
    <w:qFormat/>
    <w:uiPriority w:val="0"/>
    <w:rPr>
      <w:b/>
      <w:bCs/>
    </w:rPr>
  </w:style>
  <w:style w:type="character" w:styleId="66">
    <w:name w:val="endnote reference"/>
    <w:basedOn w:val="64"/>
    <w:semiHidden/>
    <w:unhideWhenUsed/>
    <w:qFormat/>
    <w:uiPriority w:val="99"/>
    <w:rPr>
      <w:vertAlign w:val="superscript"/>
    </w:rPr>
  </w:style>
  <w:style w:type="character" w:styleId="67">
    <w:name w:val="Hyperlink"/>
    <w:unhideWhenUsed/>
    <w:qFormat/>
    <w:uiPriority w:val="99"/>
    <w:rPr>
      <w:color w:val="0000FF"/>
      <w:u w:val="single"/>
    </w:rPr>
  </w:style>
  <w:style w:type="character" w:styleId="68">
    <w:name w:val="annotation reference"/>
    <w:qFormat/>
    <w:uiPriority w:val="0"/>
    <w:rPr>
      <w:sz w:val="21"/>
      <w:szCs w:val="21"/>
    </w:rPr>
  </w:style>
  <w:style w:type="character" w:customStyle="1" w:styleId="69">
    <w:name w:val="标题 1 字符1"/>
    <w:link w:val="2"/>
    <w:qFormat/>
    <w:uiPriority w:val="0"/>
    <w:rPr>
      <w:rFonts w:ascii="Times New Roman" w:hAnsi="Times New Roman" w:eastAsia="黑体" w:cs="Calibri"/>
      <w:b/>
      <w:color w:val="000080"/>
      <w:kern w:val="0"/>
      <w:sz w:val="30"/>
      <w:szCs w:val="32"/>
      <w:lang w:val="en-IN" w:eastAsia="en-US"/>
    </w:rPr>
  </w:style>
  <w:style w:type="character" w:customStyle="1" w:styleId="70">
    <w:name w:val="标题 2 字符1"/>
    <w:link w:val="3"/>
    <w:qFormat/>
    <w:uiPriority w:val="0"/>
    <w:rPr>
      <w:rFonts w:ascii="Calibri" w:hAnsi="Calibri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1">
    <w:name w:val="标题 3 字符1"/>
    <w:link w:val="4"/>
    <w:qFormat/>
    <w:uiPriority w:val="0"/>
    <w:rPr>
      <w:rFonts w:ascii="Times New Roman" w:hAnsi="Times New Roman" w:eastAsia="宋体"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2">
    <w:name w:val="标题 4 字符"/>
    <w:link w:val="5"/>
    <w:qFormat/>
    <w:uiPriority w:val="0"/>
    <w:rPr>
      <w:rFonts w:ascii="Calibri" w:hAnsi="Calibri" w:eastAsia="宋体"/>
      <w:b/>
      <w:bCs/>
      <w:sz w:val="26"/>
      <w:szCs w:val="26"/>
      <w:lang w:val="zh-CN" w:eastAsia="zh-CN"/>
    </w:rPr>
  </w:style>
  <w:style w:type="character" w:customStyle="1" w:styleId="73">
    <w:name w:val="标题 5 字符1"/>
    <w:link w:val="6"/>
    <w:qFormat/>
    <w:uiPriority w:val="9"/>
    <w:rPr>
      <w:rFonts w:ascii="Calibri" w:hAnsi="Calibri" w:eastAsia="宋体"/>
      <w:b/>
      <w:bCs/>
      <w:sz w:val="28"/>
      <w:szCs w:val="28"/>
    </w:rPr>
  </w:style>
  <w:style w:type="character" w:customStyle="1" w:styleId="74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customStyle="1" w:styleId="75">
    <w:name w:val="页眉 字符"/>
    <w:basedOn w:val="64"/>
    <w:link w:val="20"/>
    <w:qFormat/>
    <w:uiPriority w:val="99"/>
    <w:rPr>
      <w:sz w:val="18"/>
      <w:szCs w:val="18"/>
    </w:rPr>
  </w:style>
  <w:style w:type="character" w:customStyle="1" w:styleId="76">
    <w:name w:val="页脚 字符"/>
    <w:basedOn w:val="64"/>
    <w:link w:val="19"/>
    <w:qFormat/>
    <w:uiPriority w:val="99"/>
    <w:rPr>
      <w:sz w:val="18"/>
      <w:szCs w:val="18"/>
    </w:rPr>
  </w:style>
  <w:style w:type="character" w:customStyle="1" w:styleId="77">
    <w:name w:val="标题 1 字符"/>
    <w:basedOn w:val="64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8">
    <w:name w:val="标题 2 字符"/>
    <w:basedOn w:val="6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9">
    <w:name w:val="标题 3 字符"/>
    <w:basedOn w:val="64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80">
    <w:name w:val="标题 5 字符"/>
    <w:basedOn w:val="64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1">
    <w:name w:val="标题 6 字符"/>
    <w:basedOn w:val="64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table" w:customStyle="1" w:styleId="82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3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84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85">
    <w:name w:val="文档结构图 字符1"/>
    <w:link w:val="10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86">
    <w:name w:val="文档结构图 字符"/>
    <w:basedOn w:val="64"/>
    <w:semiHidden/>
    <w:qFormat/>
    <w:uiPriority w:val="0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87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88">
    <w:name w:val="TOC 2 字符"/>
    <w:basedOn w:val="64"/>
    <w:link w:val="26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89">
    <w:name w:val="纯文本 字符"/>
    <w:basedOn w:val="64"/>
    <w:semiHidden/>
    <w:qFormat/>
    <w:uiPriority w:val="99"/>
    <w:rPr>
      <w:rFonts w:hAnsi="Courier New" w:cs="Courier New" w:asciiTheme="minorEastAsia"/>
      <w:szCs w:val="21"/>
    </w:rPr>
  </w:style>
  <w:style w:type="paragraph" w:customStyle="1" w:styleId="90">
    <w:name w:val="_Style 44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1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2">
    <w:name w:val="标题 字符1"/>
    <w:link w:val="29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character" w:customStyle="1" w:styleId="93">
    <w:name w:val="标题 字符"/>
    <w:basedOn w:val="64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94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95">
    <w:name w:val="副标题 字符1"/>
    <w:link w:val="23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96">
    <w:name w:val="副标题 字符"/>
    <w:basedOn w:val="64"/>
    <w:qFormat/>
    <w:uiPriority w:val="11"/>
    <w:rPr>
      <w:b/>
      <w:bCs/>
      <w:kern w:val="28"/>
      <w:sz w:val="32"/>
      <w:szCs w:val="32"/>
    </w:rPr>
  </w:style>
  <w:style w:type="character" w:customStyle="1" w:styleId="97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98">
    <w:name w:val="批注框文本 字符1"/>
    <w:link w:val="18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character" w:customStyle="1" w:styleId="99">
    <w:name w:val="批注框文本 字符"/>
    <w:basedOn w:val="64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table" w:customStyle="1" w:styleId="100">
    <w:name w:val="网格表 4 - 着色 11"/>
    <w:basedOn w:val="31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1">
    <w:name w:val="网格表 4 - 着色 12"/>
    <w:basedOn w:val="31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2">
    <w:name w:val="网格表 5 深色 - 着色 11"/>
    <w:basedOn w:val="31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03">
    <w:name w:val="正文文本 字符1"/>
    <w:link w:val="12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character" w:customStyle="1" w:styleId="104">
    <w:name w:val="正文文本 字符"/>
    <w:basedOn w:val="64"/>
    <w:semiHidden/>
    <w:qFormat/>
    <w:uiPriority w:val="99"/>
    <w:rPr>
      <w:rFonts w:ascii="Times New Roman" w:hAnsi="Times New Roman" w:eastAsia="Times New Roman" w:cs="Times New Roman"/>
      <w:szCs w:val="21"/>
    </w:rPr>
  </w:style>
  <w:style w:type="paragraph" w:styleId="105">
    <w:name w:val="List Paragraph"/>
    <w:basedOn w:val="1"/>
    <w:link w:val="106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6">
    <w:name w:val="列表段落 字符"/>
    <w:basedOn w:val="64"/>
    <w:link w:val="105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07">
    <w:name w:val="Table Paragraph"/>
    <w:basedOn w:val="1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8">
    <w:name w:val="批注文字 字符1"/>
    <w:link w:val="11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09">
    <w:name w:val="批注文字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0">
    <w:name w:val="批注主题 字符1"/>
    <w:link w:val="30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1">
    <w:name w:val="批注主题 字符"/>
    <w:basedOn w:val="109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2">
    <w:name w:val="日期 字符1"/>
    <w:link w:val="16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3">
    <w:name w:val="日期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paragraph" w:styleId="114">
    <w:name w:val="No Spacing"/>
    <w:link w:val="115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15">
    <w:name w:val="无间隔 字符"/>
    <w:link w:val="114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16">
    <w:name w:val="概述标题"/>
    <w:basedOn w:val="1"/>
    <w:qFormat/>
    <w:uiPriority w:val="0"/>
    <w:rPr>
      <w:b/>
    </w:rPr>
  </w:style>
  <w:style w:type="table" w:customStyle="1" w:styleId="117">
    <w:name w:val="网格表 4 - 着色 13"/>
    <w:basedOn w:val="31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18">
    <w:name w:val="网格表 4 - 着色 51"/>
    <w:basedOn w:val="31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19">
    <w:name w:val="无格式表格 51"/>
    <w:basedOn w:val="31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20">
    <w:name w:val="未处理的提及1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1">
    <w:name w:val="Style1"/>
    <w:link w:val="122"/>
    <w:autoRedefine/>
    <w:qFormat/>
    <w:uiPriority w:val="0"/>
    <w:pPr>
      <w:pBdr>
        <w:bottom w:val="single" w:color="auto" w:sz="4" w:space="6"/>
      </w:pBdr>
      <w:spacing w:before="160" w:after="160"/>
    </w:pPr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  <w:lang w:val="en-US" w:eastAsia="zh-CN" w:bidi="ar-SA"/>
    </w:rPr>
  </w:style>
  <w:style w:type="character" w:customStyle="1" w:styleId="122">
    <w:name w:val="Style1 字符"/>
    <w:basedOn w:val="64"/>
    <w:link w:val="121"/>
    <w:qFormat/>
    <w:uiPriority w:val="0"/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123">
    <w:name w:val="尾注文本 字符"/>
    <w:basedOn w:val="64"/>
    <w:link w:val="17"/>
    <w:semiHidden/>
    <w:qFormat/>
    <w:uiPriority w:val="99"/>
    <w:rPr>
      <w:rFonts w:ascii="Times New Roman" w:hAnsi="Times New Roman"/>
    </w:rPr>
  </w:style>
  <w:style w:type="character" w:customStyle="1" w:styleId="124">
    <w:name w:val="未处理的提及11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5">
    <w:name w:val="未处理的提及2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6">
    <w:name w:val="Source"/>
    <w:basedOn w:val="1"/>
    <w:link w:val="127"/>
    <w:autoRedefine/>
    <w:qFormat/>
    <w:uiPriority w:val="0"/>
    <w:pPr>
      <w:widowControl/>
      <w:topLinePunct w:val="0"/>
      <w:spacing w:after="240"/>
      <w:jc w:val="left"/>
    </w:pPr>
    <w:rPr>
      <w:rFonts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7">
    <w:name w:val="Source 字符"/>
    <w:basedOn w:val="64"/>
    <w:link w:val="126"/>
    <w:qFormat/>
    <w:uiPriority w:val="0"/>
    <w:rPr>
      <w:rFonts w:ascii="Times New Roman" w:hAnsi="Times New Roman"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28">
    <w:name w:val="正文-段落"/>
    <w:basedOn w:val="1"/>
    <w:link w:val="129"/>
    <w:qFormat/>
    <w:uiPriority w:val="0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9">
    <w:name w:val="正文-段落 字符"/>
    <w:basedOn w:val="64"/>
    <w:link w:val="128"/>
    <w:qFormat/>
    <w:uiPriority w:val="0"/>
    <w:rPr>
      <w:rFonts w:ascii="Times New Roman" w:hAnsi="Times New Roman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30">
    <w:name w:val="Figure Style"/>
    <w:basedOn w:val="9"/>
    <w:link w:val="131"/>
    <w:qFormat/>
    <w:uiPriority w:val="0"/>
    <w:pPr>
      <w:keepNext/>
      <w:keepLines/>
      <w:numPr>
        <w:ilvl w:val="0"/>
        <w:numId w:val="2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  <w:style w:type="character" w:customStyle="1" w:styleId="131">
    <w:name w:val="Figure Style 字符"/>
    <w:basedOn w:val="106"/>
    <w:link w:val="130"/>
    <w:qFormat/>
    <w:uiPriority w:val="0"/>
    <w:rPr>
      <w:rFonts w:ascii="Times New Roman" w:hAnsi="Times New Roman" w:eastAsia="宋体" w:cstheme="majorBidi"/>
      <w:b/>
      <w:kern w:val="0"/>
      <w:sz w:val="24"/>
      <w:szCs w:val="20"/>
      <w:lang w:eastAsia="en-US"/>
    </w:rPr>
  </w:style>
  <w:style w:type="paragraph" w:customStyle="1" w:styleId="132">
    <w:name w:val="Table Style"/>
    <w:basedOn w:val="105"/>
    <w:link w:val="133"/>
    <w:qFormat/>
    <w:uiPriority w:val="0"/>
    <w:pPr>
      <w:keepNext/>
      <w:keepLines/>
      <w:numPr>
        <w:ilvl w:val="0"/>
        <w:numId w:val="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hAnsi="Times New Roman" w:eastAsia="宋体" w:cstheme="minorBidi"/>
      <w:b/>
      <w:sz w:val="24"/>
      <w:lang w:val="en-IN"/>
    </w:rPr>
  </w:style>
  <w:style w:type="character" w:customStyle="1" w:styleId="133">
    <w:name w:val="Table Style Char"/>
    <w:basedOn w:val="64"/>
    <w:link w:val="132"/>
    <w:qFormat/>
    <w:uiPriority w:val="0"/>
    <w:rPr>
      <w:rFonts w:ascii="Times New Roman" w:hAnsi="Times New Roman" w:eastAsia="宋体"/>
      <w:b/>
      <w:kern w:val="0"/>
      <w:sz w:val="24"/>
      <w:szCs w:val="22"/>
      <w:lang w:val="en-IN" w:eastAsia="en-US"/>
    </w:rPr>
  </w:style>
  <w:style w:type="paragraph" w:customStyle="1" w:styleId="134">
    <w:name w:val="目录2"/>
    <w:basedOn w:val="26"/>
    <w:next w:val="26"/>
    <w:link w:val="135"/>
    <w:qFormat/>
    <w:uiPriority w:val="0"/>
    <w:pPr>
      <w:tabs>
        <w:tab w:val="right" w:pos="9736"/>
      </w:tabs>
    </w:pPr>
  </w:style>
  <w:style w:type="character" w:customStyle="1" w:styleId="135">
    <w:name w:val="目录2 字符"/>
    <w:basedOn w:val="88"/>
    <w:link w:val="134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36">
    <w:name w:val="未处理的提及3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37">
    <w:name w:val="List Table 2 Accent 4"/>
    <w:basedOn w:val="31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38">
    <w:name w:val="古典型1"/>
    <w:basedOn w:val="34"/>
    <w:qFormat/>
    <w:uiPriority w:val="99"/>
    <w:pPr>
      <w:topLinePunct/>
      <w:spacing w:line="336" w:lineRule="auto"/>
    </w:pPr>
    <w:rPr>
      <w:rFonts w:asciiTheme="minorHAnsi" w:hAnsiTheme="minorHAnsi" w:eastAsiaTheme="minorEastAsia" w:cstheme="minorBidi"/>
      <w:kern w:val="2"/>
      <w:sz w:val="21"/>
      <w:szCs w:val="21"/>
    </w:rPr>
    <w:tcPr>
      <w:shd w:val="clear" w:color="auto" w:fill="auto"/>
    </w:tcPr>
    <w:tblStylePr w:type="firstRow">
      <w:rPr>
        <w:i/>
        <w:iCs/>
      </w:rPr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cPr>
        <w:tcBorders>
          <w:tl2br w:val="nil"/>
          <w:tr2bl w:val="nil"/>
        </w:tcBorders>
      </w:tcPr>
    </w:tblStylePr>
    <w:tblStylePr w:type="swCell">
      <w:rPr>
        <w:b/>
        <w:bCs/>
      </w:rPr>
      <w:tcPr>
        <w:tcBorders>
          <w:tl2br w:val="nil"/>
          <w:tr2bl w:val="nil"/>
        </w:tcBorders>
      </w:tcPr>
    </w:tblStylePr>
  </w:style>
  <w:style w:type="table" w:customStyle="1" w:styleId="139">
    <w:name w:val="List Table 1 Light Accent 1"/>
    <w:basedOn w:val="31"/>
    <w:qFormat/>
    <w:uiPriority w:val="46"/>
    <w:pPr>
      <w:jc w:val="both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character" w:customStyle="1" w:styleId="140">
    <w:name w:val="未处理的提及4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1">
    <w:name w:val="中文摘要"/>
    <w:basedOn w:val="121"/>
    <w:link w:val="142"/>
    <w:qFormat/>
    <w:uiPriority w:val="0"/>
    <w:pPr>
      <w:spacing w:before="40" w:after="0"/>
    </w:pPr>
    <w:rPr>
      <w:rFonts w:eastAsia="黑体"/>
      <w:color w:val="000080"/>
      <w:sz w:val="32"/>
    </w:rPr>
  </w:style>
  <w:style w:type="character" w:customStyle="1" w:styleId="142">
    <w:name w:val="中文摘要 字符"/>
    <w:basedOn w:val="122"/>
    <w:link w:val="141"/>
    <w:qFormat/>
    <w:uiPriority w:val="0"/>
    <w:rPr>
      <w:rFonts w:ascii="Calibri" w:hAnsi="Calibri" w:eastAsia="黑体" w:cs="Calibri"/>
      <w:color w:val="000080"/>
      <w:spacing w:val="-3"/>
      <w:kern w:val="0"/>
      <w:sz w:val="32"/>
      <w:szCs w:val="40"/>
    </w:rPr>
  </w:style>
  <w:style w:type="table" w:customStyle="1" w:styleId="143">
    <w:name w:val="List Table 1 Light Accent 2"/>
    <w:basedOn w:val="31"/>
    <w:qFormat/>
    <w:uiPriority w:val="46"/>
    <w:tblStylePr w:type="firstRow">
      <w:rPr>
        <w:b/>
        <w:bCs/>
      </w:rPr>
      <w:tcPr>
        <w:tcBorders>
          <w:bottom w:val="single" w:color="ADCDE9" w:themeColor="accent2" w:themeTint="99" w:sz="4" w:space="0"/>
        </w:tcBorders>
      </w:tcPr>
    </w:tblStylePr>
    <w:tblStylePr w:type="lastRow">
      <w:rPr>
        <w:b/>
        <w:bCs/>
      </w:rPr>
      <w:tcPr>
        <w:tcBorders>
          <w:top w:val="single" w:color="ADCDE9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table" w:customStyle="1" w:styleId="144">
    <w:name w:val="List Table 2 Accent 2"/>
    <w:basedOn w:val="31"/>
    <w:qFormat/>
    <w:uiPriority w:val="47"/>
    <w:pPr>
      <w:spacing w:line="259" w:lineRule="auto"/>
      <w:jc w:val="both"/>
    </w:pPr>
    <w:tblPr>
      <w:tblBorders>
        <w:top w:val="single" w:color="ADCDE9" w:themeColor="accent2" w:themeTint="99" w:sz="4" w:space="0"/>
        <w:bottom w:val="single" w:color="ADCDE9" w:themeColor="accent2" w:themeTint="99" w:sz="4" w:space="0"/>
        <w:insideH w:val="single" w:color="ADCDE9" w:themeColor="accent2" w:themeTint="99" w:sz="4" w:space="0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character" w:customStyle="1" w:styleId="145">
    <w:name w:val="未处理的提及5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6">
    <w:name w:val="Unresolved Mention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47">
    <w:name w:val="表格-lpi"/>
    <w:basedOn w:val="31"/>
    <w:qFormat/>
    <w:uiPriority w:val="99"/>
    <w:rPr>
      <w:rFonts w:ascii="Times New Roman" w:hAnsi="Times New Roman" w:eastAsia="Times New Roman"/>
      <w:color w:val="00B050"/>
      <w:sz w:val="20"/>
      <w:szCs w:val="20"/>
    </w:rPr>
  </w:style>
  <w:style w:type="table" w:customStyle="1" w:styleId="148">
    <w:name w:val="Grid Table 2"/>
    <w:basedOn w:val="31"/>
    <w:qFormat/>
    <w:uiPriority w:val="47"/>
    <w:pPr>
      <w:jc w:val="both"/>
    </w:pPr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paragraph" w:customStyle="1" w:styleId="149">
    <w:name w:val="数据-表格"/>
    <w:qFormat/>
    <w:uiPriority w:val="0"/>
    <w:pPr>
      <w:spacing w:before="40" w:after="40"/>
    </w:pPr>
    <w:rPr>
      <w:rFonts w:ascii="Times New Roman" w:hAnsi="Times New Roman" w:eastAsia="宋体" w:cstheme="minorBidi"/>
      <w:kern w:val="0"/>
      <w:sz w:val="21"/>
      <w:szCs w:val="22"/>
      <w:lang w:val="en-IN" w:eastAsia="en-US" w:bidi="ar-SA"/>
    </w:rPr>
  </w:style>
  <w:style w:type="character" w:customStyle="1" w:styleId="150">
    <w:name w:val="未处理的提及6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51">
    <w:name w:val="Grid Table 4 Accent 6"/>
    <w:basedOn w:val="31"/>
    <w:qFormat/>
    <w:uiPriority w:val="49"/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39D69"/>
      </w:tcPr>
    </w:tblStylePr>
    <w:tblStylePr w:type="lastRow">
      <w:rPr>
        <w:b/>
        <w:bCs/>
      </w:rPr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6F1E9"/>
      </w:tcPr>
    </w:tblStylePr>
  </w:style>
  <w:style w:type="table" w:customStyle="1" w:styleId="152">
    <w:name w:val="List Table 1 Light Accent 4"/>
    <w:basedOn w:val="31"/>
    <w:qFormat/>
    <w:uiPriority w:val="46"/>
    <w:pPr>
      <w:jc w:val="right"/>
    </w:pPr>
    <w:rPr>
      <w:rFonts w:eastAsia="Times New Roman"/>
    </w:rPr>
    <w:tblPr>
      <w:tblBorders>
        <w:bottom w:val="single" w:color="000000" w:themeColor="text1" w:sz="4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FFD965" w:themeColor="accent4" w:themeTint="99" w:sz="4" w:space="0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  <w:tblStylePr w:type="nwCell">
      <w:pPr>
        <w:jc w:val="both"/>
      </w:p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CE0F94-762C-40E6-92F6-149C76009A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8282</Words>
  <Characters>11006</Characters>
  <Lines>256</Lines>
  <Paragraphs>72</Paragraphs>
  <TotalTime>4404</TotalTime>
  <ScaleCrop>false</ScaleCrop>
  <LinksUpToDate>false</LinksUpToDate>
  <CharactersWithSpaces>11974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2018-05-17T07:59:00Z</dcterms:created>
  <dc:creator>yangj</dc:creator>
  <cp:lastModifiedBy>qyr</cp:lastModifiedBy>
  <cp:lastPrinted>2019-12-11T04:09:00Z</cp:lastPrinted>
  <dcterms:modified xsi:type="dcterms:W3CDTF">2024-08-08T08:53:42Z</dcterms:modified>
  <cp:revision>5369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1C58622726AF4ED3BFC62D9369762456_13</vt:lpwstr>
  </property>
</Properties>
</file>