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olors1.xml" ContentType="application/vnd.ms-office.chartcolorstyle+xml"/>
  <Override PartName="/word/charts/style1.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7"/>
        <w:rPr>
          <w:lang w:eastAsia="zh-CN"/>
        </w:rPr>
      </w:pPr>
      <w:bookmarkStart w:id="0" w:name="_Toc438987549"/>
      <w:bookmarkStart w:id="1" w:name="_Toc481801204"/>
      <w:bookmarkStart w:id="2" w:name="_Toc517262917"/>
      <w:bookmarkStart w:id="3" w:name="_Toc453597319"/>
      <w:bookmarkStart w:id="4" w:name="OLE_LINK15"/>
      <w:bookmarkStart w:id="5" w:name="_Toc415143481"/>
      <w:bookmarkStart w:id="6" w:name="OLE_LINK40"/>
      <w:bookmarkStart w:id="7" w:name="OLE_LINK13"/>
      <w:bookmarkStart w:id="8" w:name="_Toc415818939"/>
      <w:bookmarkStart w:id="9" w:name="_Toc418070112"/>
      <w:bookmarkStart w:id="10" w:name="_Toc415142861"/>
      <w:bookmarkStart w:id="11" w:name="OLE_LINK24"/>
      <w:bookmarkStart w:id="12" w:name="OLE_LINK39"/>
      <w:r>
        <w:rPr>
          <w:lang w:eastAsia="zh-CN"/>
        </w:rPr>
        <w:t>3C涂料</w:t>
      </w:r>
      <w:r>
        <w:rPr>
          <w:rFonts w:hint="eastAsia"/>
          <w:lang w:eastAsia="zh-CN"/>
        </w:rPr>
        <w:t>全球市场总体规模</w:t>
      </w:r>
    </w:p>
    <w:p>
      <w:pPr>
        <w:pStyle w:val="145"/>
        <w:rPr>
          <w:lang w:eastAsia="zh-CN"/>
        </w:rPr>
      </w:pPr>
      <w:r>
        <w:drawing>
          <wp:inline distT="0" distB="0" distL="0" distR="0">
            <wp:extent cx="3581400" cy="2695575"/>
            <wp:effectExtent l="0" t="0" r="0" b="9525"/>
            <wp:docPr id="2" name="图片 2" descr="â3Cæ¶æâçå¾çæç´¢ç»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â3Cæ¶æâçå¾çæç´¢ç»æ"/>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3581400" cy="2695575"/>
                    </a:xfrm>
                    <a:prstGeom prst="rect">
                      <a:avLst/>
                    </a:prstGeom>
                    <a:noFill/>
                    <a:ln>
                      <a:noFill/>
                    </a:ln>
                  </pic:spPr>
                </pic:pic>
              </a:graphicData>
            </a:graphic>
          </wp:inline>
        </w:drawing>
      </w:r>
    </w:p>
    <w:p>
      <w:pPr>
        <w:widowControl/>
        <w:topLinePunct w:val="0"/>
        <w:spacing w:after="0"/>
        <w:rPr>
          <w:rFonts w:ascii="Book Antiqua" w:hAnsi="Book Antiqua" w:cs="宋体"/>
          <w:kern w:val="0"/>
          <w:sz w:val="24"/>
          <w:szCs w:val="24"/>
        </w:rPr>
      </w:pPr>
      <w:r>
        <w:rPr>
          <w:rFonts w:ascii="Book Antiqua" w:hAnsi="Book Antiqua" w:cs="宋体"/>
          <w:kern w:val="0"/>
          <w:sz w:val="24"/>
          <w:szCs w:val="24"/>
        </w:rPr>
        <w:t>据QYResearch调研团队最新报告“全球3C涂料市场报告2023-2029”显示，预计2029年全球3C涂料市场规模将达到12.3亿美元，未来几年年复合增长率CAGR为2.1%。</w:t>
      </w:r>
    </w:p>
    <w:p>
      <w:pPr>
        <w:pStyle w:val="145"/>
        <w:rPr>
          <w:lang w:val="en-US" w:eastAsia="zh-CN"/>
        </w:rPr>
      </w:pPr>
    </w:p>
    <w:p>
      <w:pPr>
        <w:pStyle w:val="148"/>
        <w:rPr>
          <w:lang w:eastAsia="zh-CN"/>
        </w:rPr>
      </w:pPr>
      <w:r>
        <w:rPr>
          <w:lang w:eastAsia="zh-CN"/>
        </w:rPr>
        <w:t>3C涂料</w:t>
      </w:r>
      <w:r>
        <w:rPr>
          <w:rFonts w:hint="eastAsia"/>
          <w:lang w:eastAsia="zh-CN"/>
        </w:rPr>
        <w:t>，全球市场总体规模</w:t>
      </w:r>
    </w:p>
    <w:p>
      <w:pPr>
        <w:pStyle w:val="145"/>
      </w:pPr>
      <w:r>
        <w:drawing>
          <wp:inline distT="0" distB="0" distL="0" distR="0">
            <wp:extent cx="4581525" cy="283845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a:stretch>
                      <a:fillRect/>
                    </a:stretch>
                  </pic:blipFill>
                  <pic:spPr>
                    <a:xfrm>
                      <a:off x="0" y="0"/>
                      <a:ext cx="4581525" cy="2838450"/>
                    </a:xfrm>
                    <a:prstGeom prst="rect">
                      <a:avLst/>
                    </a:prstGeom>
                  </pic:spPr>
                </pic:pic>
              </a:graphicData>
            </a:graphic>
          </wp:inline>
        </w:drawing>
      </w:r>
    </w:p>
    <w:p>
      <w:pPr>
        <w:pStyle w:val="143"/>
      </w:pPr>
      <w:r>
        <w:rPr>
          <w:rFonts w:hint="eastAsia"/>
          <w:lang w:eastAsia="zh-CN"/>
        </w:rPr>
        <w:t>如上图表/数据，摘自QYResearch最新报告“</w:t>
      </w:r>
      <w:r>
        <w:rPr>
          <w:rFonts w:hint="eastAsia"/>
        </w:rPr>
        <w:t>全球</w:t>
      </w:r>
      <w:r>
        <w:t>3C涂料</w:t>
      </w:r>
      <w:r>
        <w:rPr>
          <w:rFonts w:hint="eastAsia"/>
        </w:rPr>
        <w:t>市场研究报告2023-2029</w:t>
      </w:r>
      <w:r>
        <w:t>.</w:t>
      </w:r>
    </w:p>
    <w:p>
      <w:pPr>
        <w:pStyle w:val="145"/>
      </w:pPr>
    </w:p>
    <w:p>
      <w:pPr>
        <w:pStyle w:val="148"/>
        <w:rPr>
          <w:lang w:eastAsia="zh-CN"/>
        </w:rPr>
      </w:pPr>
      <w:r>
        <w:rPr>
          <w:rFonts w:hint="eastAsia"/>
          <w:lang w:eastAsia="zh-CN"/>
        </w:rPr>
        <w:t>全球</w:t>
      </w:r>
      <w:r>
        <w:rPr>
          <w:lang w:eastAsia="zh-CN"/>
        </w:rPr>
        <w:t>3C涂料</w:t>
      </w:r>
      <w:r>
        <w:rPr>
          <w:rFonts w:hint="eastAsia"/>
          <w:lang w:eastAsia="zh-CN"/>
        </w:rPr>
        <w:t>市场前</w:t>
      </w:r>
      <w:r>
        <w:rPr>
          <w:lang w:eastAsia="zh-CN"/>
        </w:rPr>
        <w:t>11</w:t>
      </w:r>
      <w:r>
        <w:rPr>
          <w:rFonts w:hint="eastAsia"/>
          <w:lang w:eastAsia="zh-CN"/>
        </w:rPr>
        <w:t>强生产商排名及市场占有率（2</w:t>
      </w:r>
      <w:r>
        <w:rPr>
          <w:lang w:eastAsia="zh-CN"/>
        </w:rPr>
        <w:t>021</w:t>
      </w:r>
      <w:r>
        <w:rPr>
          <w:rFonts w:hint="eastAsia"/>
          <w:lang w:eastAsia="zh-CN"/>
        </w:rPr>
        <w:t>数据，持续更新）</w:t>
      </w:r>
    </w:p>
    <w:p>
      <w:pPr>
        <w:pStyle w:val="145"/>
        <w:jc w:val="center"/>
      </w:pPr>
      <w:r>
        <w:drawing>
          <wp:inline distT="0" distB="0" distL="0" distR="0">
            <wp:extent cx="4572000" cy="4399915"/>
            <wp:effectExtent l="0" t="0" r="0" b="635"/>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pStyle w:val="143"/>
      </w:pPr>
      <w:r>
        <w:rPr>
          <w:rFonts w:hint="eastAsia"/>
          <w:lang w:eastAsia="zh-CN"/>
        </w:rPr>
        <w:t>如上图表/数据，摘自QYResearch最新报告“</w:t>
      </w:r>
      <w:r>
        <w:rPr>
          <w:rFonts w:hint="eastAsia"/>
        </w:rPr>
        <w:t>全球</w:t>
      </w:r>
      <w:r>
        <w:t>3C涂料</w:t>
      </w:r>
      <w:r>
        <w:rPr>
          <w:rFonts w:hint="eastAsia"/>
        </w:rPr>
        <w:t>市场研究报告2023-2029</w:t>
      </w:r>
      <w:r>
        <w:rPr>
          <w:rFonts w:hint="eastAsia"/>
          <w:lang w:eastAsia="zh-CN"/>
        </w:rPr>
        <w:t>中的2</w:t>
      </w:r>
      <w:r>
        <w:rPr>
          <w:lang w:eastAsia="zh-CN"/>
        </w:rPr>
        <w:t>021</w:t>
      </w:r>
      <w:r>
        <w:rPr>
          <w:rFonts w:hint="eastAsia"/>
          <w:lang w:eastAsia="zh-CN"/>
        </w:rPr>
        <w:t>年数据</w:t>
      </w:r>
      <w:r>
        <w:t>.</w:t>
      </w:r>
    </w:p>
    <w:p>
      <w:pPr>
        <w:widowControl/>
        <w:topLinePunct w:val="0"/>
        <w:spacing w:after="0"/>
        <w:rPr>
          <w:rFonts w:ascii="Times New Roman" w:hAnsi="Times New Roman" w:cs="Times New Roman"/>
          <w:kern w:val="0"/>
          <w:sz w:val="22"/>
          <w:szCs w:val="22"/>
        </w:rPr>
      </w:pPr>
      <w:r>
        <w:rPr>
          <w:rFonts w:ascii="Times New Roman" w:hAnsi="Times New Roman" w:cs="Times New Roman"/>
          <w:kern w:val="0"/>
          <w:sz w:val="22"/>
          <w:szCs w:val="22"/>
        </w:rPr>
        <w:t>全球范围内3C涂料生产商主要包括AkzoNobel、PPG、Musashi Paint、Beckers、Sherwin-Williams、Sokan、NATOCO、Cashew、Origin、Hipro等。2020年，全球前五大厂商占有大约56.0%的市场份额。</w:t>
      </w:r>
    </w:p>
    <w:p>
      <w:pPr>
        <w:pStyle w:val="145"/>
      </w:pPr>
    </w:p>
    <w:p>
      <w:pPr>
        <w:pStyle w:val="145"/>
      </w:pPr>
    </w:p>
    <w:p>
      <w:pPr>
        <w:pStyle w:val="145"/>
      </w:pPr>
      <w:r>
        <w:br w:type="page"/>
      </w:r>
    </w:p>
    <w:bookmarkEnd w:id="0"/>
    <w:bookmarkEnd w:id="1"/>
    <w:bookmarkEnd w:id="2"/>
    <w:bookmarkEnd w:id="3"/>
    <w:bookmarkEnd w:id="4"/>
    <w:bookmarkEnd w:id="5"/>
    <w:bookmarkEnd w:id="6"/>
    <w:bookmarkEnd w:id="7"/>
    <w:bookmarkEnd w:id="8"/>
    <w:bookmarkEnd w:id="9"/>
    <w:bookmarkEnd w:id="10"/>
    <w:bookmarkEnd w:id="11"/>
    <w:bookmarkEnd w:id="12"/>
    <w:p>
      <w:pPr>
        <w:pStyle w:val="167"/>
        <w:rPr>
          <w:lang w:eastAsia="zh-CN"/>
        </w:rPr>
      </w:pPr>
      <w:r>
        <w:rPr>
          <w:rFonts w:hint="eastAsia"/>
          <w:lang w:eastAsia="zh-CN"/>
        </w:rPr>
        <w:t>2023年全球3C涂料行业总体规模、主要企业国内外市场占有率及排名</w:t>
      </w:r>
    </w:p>
    <w:p>
      <w:pPr>
        <w:pStyle w:val="145"/>
        <w:rPr>
          <w:rFonts w:hint="eastAsia"/>
          <w:lang w:eastAsia="zh-CN"/>
        </w:rPr>
      </w:pPr>
      <w:r>
        <w:rPr>
          <w:rFonts w:hint="eastAsia"/>
          <w:lang w:eastAsia="zh-CN"/>
        </w:rPr>
        <w:t>本文侧重研究</w:t>
      </w:r>
      <w:bookmarkStart w:id="13" w:name="_GoBack"/>
      <w:r>
        <w:rPr>
          <w:rFonts w:hint="eastAsia"/>
          <w:lang w:eastAsia="zh-CN"/>
        </w:rPr>
        <w:t>全球3C涂料总体规模及主要厂商占有率和排名</w:t>
      </w:r>
      <w:bookmarkEnd w:id="13"/>
      <w:r>
        <w:rPr>
          <w:rFonts w:hint="eastAsia"/>
          <w:lang w:eastAsia="zh-CN"/>
        </w:rPr>
        <w:t>，主要统计指标包括3C涂料产能、销量、销售收入、价格、市场份额及排名等，企业数据主要侧重近三年行业内主要厂商的市场销售情况。地区层面，主要分析过去五年和未来五年行业内主要生产地区和主要消费地区的规模及趋势。</w:t>
      </w:r>
    </w:p>
    <w:p>
      <w:pPr>
        <w:pStyle w:val="145"/>
        <w:rPr>
          <w:rFonts w:hint="eastAsia"/>
          <w:lang w:eastAsia="zh-CN"/>
        </w:rPr>
      </w:pPr>
      <w:r>
        <w:rPr>
          <w:rFonts w:hint="eastAsia"/>
          <w:lang w:eastAsia="zh-CN"/>
        </w:rPr>
        <w:t>QYResearch（恒州博智）是全球知名的大型咨询机构，长期专注于各行业细分市场的调研。行业层面，重点关注可能存在“卡脖子”的高科技细分领域。企业层面，重点关注在国际和国内市场在规模和技术等层面具有代表性的企业，挖掘出各个行业的国家级“专精特新”企业，以全球视角，深度洞察行业竞争态势、发展现状及未来趋势。</w:t>
      </w:r>
    </w:p>
    <w:p>
      <w:pPr>
        <w:pStyle w:val="145"/>
        <w:rPr>
          <w:rFonts w:hint="eastAsia"/>
          <w:lang w:eastAsia="zh-CN"/>
        </w:rPr>
      </w:pPr>
      <w:r>
        <w:rPr>
          <w:rFonts w:hint="eastAsia"/>
          <w:lang w:eastAsia="zh-CN"/>
        </w:rPr>
        <w:t>本文正文共10章，各章节主要内容如下：</w:t>
      </w:r>
    </w:p>
    <w:p>
      <w:pPr>
        <w:pStyle w:val="145"/>
        <w:rPr>
          <w:rFonts w:hint="eastAsia"/>
          <w:lang w:eastAsia="zh-CN"/>
        </w:rPr>
      </w:pPr>
      <w:r>
        <w:rPr>
          <w:rFonts w:hint="eastAsia"/>
          <w:lang w:eastAsia="zh-CN"/>
        </w:rPr>
        <w:t>第1章：报告统计范围、所属行业、产品细分及主要的下游市场，行业现状及进入壁垒等</w:t>
      </w:r>
    </w:p>
    <w:p>
      <w:pPr>
        <w:pStyle w:val="145"/>
        <w:rPr>
          <w:rFonts w:hint="eastAsia"/>
          <w:lang w:eastAsia="zh-CN"/>
        </w:rPr>
      </w:pPr>
      <w:r>
        <w:rPr>
          <w:rFonts w:hint="eastAsia"/>
          <w:lang w:eastAsia="zh-CN"/>
        </w:rPr>
        <w:t>第2章：国内外主要企业市场占有率及排名</w:t>
      </w:r>
    </w:p>
    <w:p>
      <w:pPr>
        <w:pStyle w:val="145"/>
        <w:rPr>
          <w:rFonts w:hint="eastAsia"/>
          <w:lang w:eastAsia="zh-CN"/>
        </w:rPr>
      </w:pPr>
      <w:r>
        <w:rPr>
          <w:rFonts w:hint="eastAsia"/>
          <w:lang w:eastAsia="zh-CN"/>
        </w:rPr>
        <w:t>第3章：全球总体规模（产能、产量、销量、需求量、销售收入等数据，2018-2029年）</w:t>
      </w:r>
    </w:p>
    <w:p>
      <w:pPr>
        <w:pStyle w:val="145"/>
        <w:rPr>
          <w:rFonts w:hint="eastAsia"/>
          <w:lang w:eastAsia="zh-CN"/>
        </w:rPr>
      </w:pPr>
      <w:r>
        <w:rPr>
          <w:rFonts w:hint="eastAsia"/>
          <w:lang w:eastAsia="zh-CN"/>
        </w:rPr>
        <w:t>第4章：全球3C涂料主要地区分析，包括销量、销售收入等</w:t>
      </w:r>
    </w:p>
    <w:p>
      <w:pPr>
        <w:pStyle w:val="145"/>
        <w:rPr>
          <w:rFonts w:hint="eastAsia"/>
          <w:lang w:eastAsia="zh-CN"/>
        </w:rPr>
      </w:pPr>
      <w:r>
        <w:rPr>
          <w:rFonts w:hint="eastAsia"/>
          <w:lang w:eastAsia="zh-CN"/>
        </w:rPr>
        <w:t>第5章：全球3C涂料主要厂商基本情况介绍，包括公司简介、3C涂料产品型号、销量、收入、价格及最新动态等</w:t>
      </w:r>
    </w:p>
    <w:p>
      <w:pPr>
        <w:pStyle w:val="145"/>
        <w:rPr>
          <w:rFonts w:hint="eastAsia"/>
          <w:lang w:eastAsia="zh-CN"/>
        </w:rPr>
      </w:pPr>
      <w:r>
        <w:rPr>
          <w:rFonts w:hint="eastAsia"/>
          <w:lang w:eastAsia="zh-CN"/>
        </w:rPr>
        <w:t>第6章：全球不同产品类型3C涂料销量、收入、价格及份额等</w:t>
      </w:r>
    </w:p>
    <w:p>
      <w:pPr>
        <w:pStyle w:val="145"/>
        <w:rPr>
          <w:rFonts w:hint="eastAsia"/>
          <w:lang w:eastAsia="zh-CN"/>
        </w:rPr>
      </w:pPr>
      <w:r>
        <w:rPr>
          <w:rFonts w:hint="eastAsia"/>
          <w:lang w:eastAsia="zh-CN"/>
        </w:rPr>
        <w:t>第7章：全球不同应用3C涂料销量、收入、价格及份额等</w:t>
      </w:r>
    </w:p>
    <w:p>
      <w:pPr>
        <w:pStyle w:val="145"/>
        <w:rPr>
          <w:rFonts w:hint="eastAsia"/>
          <w:lang w:eastAsia="zh-CN"/>
        </w:rPr>
      </w:pPr>
      <w:r>
        <w:rPr>
          <w:rFonts w:hint="eastAsia"/>
          <w:lang w:eastAsia="zh-CN"/>
        </w:rPr>
        <w:t>第8章：行业发展趋势、驱动因素、行业政策等</w:t>
      </w:r>
    </w:p>
    <w:p>
      <w:pPr>
        <w:pStyle w:val="145"/>
        <w:rPr>
          <w:rFonts w:hint="eastAsia"/>
          <w:lang w:eastAsia="zh-CN"/>
        </w:rPr>
      </w:pPr>
      <w:r>
        <w:rPr>
          <w:rFonts w:hint="eastAsia"/>
          <w:lang w:eastAsia="zh-CN"/>
        </w:rPr>
        <w:t>第9章：产业链、上下游分析、生产模式、销售，模式及销售渠道分析等</w:t>
      </w:r>
    </w:p>
    <w:p>
      <w:pPr>
        <w:pStyle w:val="145"/>
        <w:rPr>
          <w:rFonts w:hint="eastAsia"/>
          <w:lang w:eastAsia="zh-CN"/>
        </w:rPr>
      </w:pPr>
      <w:r>
        <w:rPr>
          <w:rFonts w:hint="eastAsia"/>
          <w:lang w:eastAsia="zh-CN"/>
        </w:rPr>
        <w:t>第10章：报告结论</w:t>
      </w:r>
    </w:p>
    <w:p>
      <w:pPr>
        <w:pStyle w:val="145"/>
        <w:rPr>
          <w:lang w:eastAsia="zh-CN"/>
        </w:rPr>
      </w:pPr>
    </w:p>
    <w:sectPr>
      <w:headerReference r:id="rId6" w:type="first"/>
      <w:headerReference r:id="rId4"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altName w:val="Segoe Print"/>
    <w:panose1 w:val="02040602050305030304"/>
    <w:charset w:val="00"/>
    <w:family w:val="roman"/>
    <w:pitch w:val="default"/>
    <w:sig w:usb0="00000000" w:usb1="00000000" w:usb2="00000000" w:usb3="00000000" w:csb0="000000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Century Gothic">
    <w:altName w:val="Yu Gothic UI"/>
    <w:panose1 w:val="020B0502020202020204"/>
    <w:charset w:val="00"/>
    <w:family w:val="swiss"/>
    <w:pitch w:val="default"/>
    <w:sig w:usb0="00000000" w:usb1="00000000" w:usb2="00000000" w:usb3="00000000" w:csb0="0000009F" w:csb1="00000000"/>
  </w:font>
  <w:font w:name="Franklin Gothic Demi">
    <w:altName w:val="Yu Gothic UI Semibold"/>
    <w:panose1 w:val="020B0703020102020204"/>
    <w:charset w:val="00"/>
    <w:family w:val="swiss"/>
    <w:pitch w:val="default"/>
    <w:sig w:usb0="00000000" w:usb1="00000000" w:usb2="00000000" w:usb3="00000000" w:csb0="0000009F" w:csb1="00000000"/>
  </w:font>
  <w:font w:name="Segoe Print">
    <w:panose1 w:val="02000600000000000000"/>
    <w:charset w:val="00"/>
    <w:family w:val="auto"/>
    <w:pitch w:val="default"/>
    <w:sig w:usb0="0000028F" w:usb1="00000000" w:usb2="00000000" w:usb3="00000000" w:csb0="2000009F" w:csb1="47010000"/>
  </w:font>
  <w:font w:name="Yu Gothic UI">
    <w:panose1 w:val="020B0500000000000000"/>
    <w:charset w:val="80"/>
    <w:family w:val="auto"/>
    <w:pitch w:val="default"/>
    <w:sig w:usb0="E00002FF" w:usb1="2AC7FDFF" w:usb2="00000016" w:usb3="00000000" w:csb0="2002009F" w:csb1="00000000"/>
  </w:font>
  <w:font w:name="Yu Gothic UI Semibold">
    <w:panose1 w:val="020B0700000000000000"/>
    <w:charset w:val="80"/>
    <w:family w:val="auto"/>
    <w:pitch w:val="default"/>
    <w:sig w:usb0="E00002FF" w:usb1="2AC7FDFF" w:usb2="00000016" w:usb3="00000000" w:csb0="2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OTY1YzZkMmU4NWY4NWNmYzc1OWZjYTMyZjg1NjQ0NDY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4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C4D"/>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BD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809"/>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83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39"/>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20E"/>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797"/>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2D4"/>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1B0"/>
    <w:rsid w:val="006E42A7"/>
    <w:rsid w:val="006E4324"/>
    <w:rsid w:val="006E464C"/>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AA"/>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3AF"/>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8ED"/>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627"/>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93A"/>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97C"/>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6871"/>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212"/>
    <w:rsid w:val="00BF55BD"/>
    <w:rsid w:val="00BF5880"/>
    <w:rsid w:val="00BF5B3C"/>
    <w:rsid w:val="00BF5C03"/>
    <w:rsid w:val="00BF5E54"/>
    <w:rsid w:val="00BF5E6B"/>
    <w:rsid w:val="00BF5E7D"/>
    <w:rsid w:val="00BF5EEE"/>
    <w:rsid w:val="00BF6054"/>
    <w:rsid w:val="00BF60BC"/>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19"/>
    <w:rsid w:val="00CD279B"/>
    <w:rsid w:val="00CD27AC"/>
    <w:rsid w:val="00CD28C5"/>
    <w:rsid w:val="00CD2912"/>
    <w:rsid w:val="00CD2AE3"/>
    <w:rsid w:val="00CD2C4A"/>
    <w:rsid w:val="00CD2E64"/>
    <w:rsid w:val="00CD34E4"/>
    <w:rsid w:val="00CD35F1"/>
    <w:rsid w:val="00CD37D9"/>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4F"/>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17E"/>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67F"/>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0E2143A2"/>
    <w:rsid w:val="4B2135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uiPriority="39" w:semiHidden="0" w:name="toc 5"/>
    <w:lsdException w:qFormat="1" w:uiPriority="39" w:semiHidden="0" w:name="toc 6"/>
    <w:lsdException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unhideWhenUsed="0" w:uiPriority="0" w:semiHidden="0" w:name="Table Grid 3"/>
    <w:lsdException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uiPriority w:val="1"/>
  </w:style>
  <w:style w:type="table" w:default="1" w:styleId="34">
    <w:name w:val="Normal Table"/>
    <w:semiHidden/>
    <w:unhideWhenUsed/>
    <w:uiPriority w:val="99"/>
    <w:tblPr>
      <w:tblCellMar>
        <w:top w:w="0" w:type="dxa"/>
        <w:left w:w="108" w:type="dxa"/>
        <w:bottom w:w="0" w:type="dxa"/>
        <w:right w:w="108" w:type="dxa"/>
      </w:tblCellMar>
    </w:tblPr>
  </w:style>
  <w:style w:type="paragraph" w:styleId="10">
    <w:name w:val="toc 7"/>
    <w:basedOn w:val="1"/>
    <w:next w:val="1"/>
    <w:unhideWhenUsed/>
    <w:uiPriority w:val="39"/>
    <w:pPr>
      <w:ind w:left="2520" w:leftChars="1200"/>
    </w:pPr>
  </w:style>
  <w:style w:type="paragraph" w:styleId="11">
    <w:name w:val="Document Map"/>
    <w:basedOn w:val="1"/>
    <w:link w:val="91"/>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unhideWhenUsed/>
    <w:uiPriority w:val="39"/>
    <w:pPr>
      <w:ind w:left="1680" w:leftChars="800"/>
    </w:pPr>
  </w:style>
  <w:style w:type="paragraph" w:styleId="15">
    <w:name w:val="toc 3"/>
    <w:basedOn w:val="1"/>
    <w:next w:val="1"/>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ascii="宋体" w:hAnsi="Courier New" w:cs="Courier New"/>
    </w:rPr>
  </w:style>
  <w:style w:type="paragraph" w:styleId="17">
    <w:name w:val="toc 8"/>
    <w:basedOn w:val="1"/>
    <w:next w:val="1"/>
    <w:unhideWhenUsed/>
    <w:qFormat/>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qFormat/>
    <w:uiPriority w:val="99"/>
    <w:rPr>
      <w:rFonts w:cs="Arial"/>
      <w:kern w:val="0"/>
      <w:sz w:val="18"/>
      <w:szCs w:val="18"/>
      <w:lang w:eastAsia="en-US"/>
    </w:rPr>
  </w:style>
  <w:style w:type="paragraph" w:styleId="21">
    <w:name w:val="footer"/>
    <w:basedOn w:val="1"/>
    <w:link w:val="74"/>
    <w:unhideWhenUsed/>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unhideWhenUsed/>
    <w:qFormat/>
    <w:uiPriority w:val="39"/>
  </w:style>
  <w:style w:type="paragraph" w:styleId="28">
    <w:name w:val="table of figures"/>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unhideWhenUsed/>
    <w:qFormat/>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0"/>
    <w:rPr>
      <w:i/>
      <w:iCs/>
    </w:rPr>
  </w:style>
  <w:style w:type="character" w:styleId="71">
    <w:name w:val="Hyperlink"/>
    <w:unhideWhenUsed/>
    <w:uiPriority w:val="99"/>
    <w:rPr>
      <w:color w:val="0000FF"/>
      <w:u w:val="single"/>
    </w:rPr>
  </w:style>
  <w:style w:type="character" w:styleId="72">
    <w:name w:val="annotation reference"/>
    <w:qFormat/>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uiPriority w:val="99"/>
    <w:rPr>
      <w:sz w:val="18"/>
      <w:szCs w:val="18"/>
    </w:rPr>
  </w:style>
  <w:style w:type="character" w:customStyle="1" w:styleId="75">
    <w:name w:val="标题 1 字符"/>
    <w:basedOn w:val="67"/>
    <w:uiPriority w:val="9"/>
    <w:rPr>
      <w:rFonts w:ascii="Times New Roman" w:hAnsi="Times New Roman" w:eastAsia="Times New Roman" w:cs="Times New Roman"/>
      <w:b/>
      <w:bCs/>
      <w:kern w:val="44"/>
      <w:sz w:val="44"/>
      <w:szCs w:val="44"/>
    </w:rPr>
  </w:style>
  <w:style w:type="character" w:customStyle="1" w:styleId="76">
    <w:name w:val="标题 2 字符"/>
    <w:basedOn w:val="67"/>
    <w:uiPriority w:val="9"/>
    <w:rPr>
      <w:rFonts w:asciiTheme="majorHAnsi" w:hAnsiTheme="majorHAnsi" w:eastAsiaTheme="majorEastAsia" w:cstheme="majorBidi"/>
      <w:b/>
      <w:bCs/>
      <w:sz w:val="32"/>
      <w:szCs w:val="32"/>
    </w:rPr>
  </w:style>
  <w:style w:type="character" w:customStyle="1" w:styleId="77">
    <w:name w:val="标题 3 字符"/>
    <w:basedOn w:val="67"/>
    <w:uiPriority w:val="9"/>
    <w:rPr>
      <w:rFonts w:ascii="Times New Roman" w:hAnsi="Times New Roman" w:eastAsia="Times New Roman" w:cs="Times New Roman"/>
      <w:b/>
      <w:bCs/>
      <w:sz w:val="32"/>
      <w:szCs w:val="32"/>
    </w:rPr>
  </w:style>
  <w:style w:type="character" w:customStyle="1" w:styleId="78">
    <w:name w:val="标题 4 字符"/>
    <w:basedOn w:val="67"/>
    <w:uiPriority w:val="9"/>
    <w:rPr>
      <w:rFonts w:asciiTheme="majorHAnsi" w:hAnsiTheme="majorHAnsi" w:eastAsiaTheme="majorEastAsia" w:cstheme="majorBidi"/>
      <w:b/>
      <w:bCs/>
      <w:sz w:val="28"/>
      <w:szCs w:val="28"/>
    </w:rPr>
  </w:style>
  <w:style w:type="character" w:customStyle="1" w:styleId="79">
    <w:name w:val="标题 5 字符"/>
    <w:basedOn w:val="67"/>
    <w:uiPriority w:val="9"/>
    <w:rPr>
      <w:rFonts w:ascii="Times New Roman" w:hAnsi="Times New Roman" w:eastAsia="Times New Roman" w:cs="Times New Roman"/>
      <w:b/>
      <w:bCs/>
      <w:sz w:val="28"/>
      <w:szCs w:val="28"/>
    </w:rPr>
  </w:style>
  <w:style w:type="character" w:customStyle="1" w:styleId="80">
    <w:name w:val="标题 6 字符"/>
    <w:basedOn w:val="67"/>
    <w:uiPriority w:val="9"/>
    <w:rPr>
      <w:rFonts w:asciiTheme="majorHAnsi" w:hAnsiTheme="majorHAnsi" w:eastAsiaTheme="majorEastAsia" w:cstheme="majorBidi"/>
      <w:b/>
      <w:bCs/>
      <w:sz w:val="24"/>
      <w:szCs w:val="24"/>
    </w:rPr>
  </w:style>
  <w:style w:type="character" w:customStyle="1" w:styleId="81">
    <w:name w:val="标题 1 字符1"/>
    <w:link w:val="2"/>
    <w:uiPriority w:val="9"/>
    <w:rPr>
      <w:rFonts w:ascii="Frutiger" w:hAnsi="Frutiger" w:eastAsia="宋体" w:cs="Calibri"/>
      <w:b/>
      <w:color w:val="FF8200"/>
      <w:kern w:val="0"/>
      <w:sz w:val="44"/>
      <w:szCs w:val="32"/>
      <w:lang w:val="en-IN" w:eastAsia="en-US"/>
    </w:rPr>
  </w:style>
  <w:style w:type="character" w:customStyle="1" w:styleId="82">
    <w:name w:val="标题 2 字符1"/>
    <w:link w:val="3"/>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uiPriority w:val="9"/>
    <w:rPr>
      <w:rFonts w:ascii="Frutiger" w:hAnsi="Frutiger" w:eastAsia="宋体"/>
      <w:b/>
      <w:bCs/>
      <w:sz w:val="26"/>
      <w:szCs w:val="26"/>
      <w:lang w:val="zh-CN" w:eastAsia="zh-CN"/>
    </w:rPr>
  </w:style>
  <w:style w:type="character" w:customStyle="1" w:styleId="85">
    <w:name w:val="标题 5 字符1"/>
    <w:link w:val="6"/>
    <w:uiPriority w:val="9"/>
    <w:rPr>
      <w:rFonts w:ascii="Frutiger" w:hAnsi="Frutiger" w:eastAsia="宋体"/>
      <w:b/>
      <w:bCs/>
      <w:sz w:val="28"/>
      <w:szCs w:val="28"/>
    </w:rPr>
  </w:style>
  <w:style w:type="character" w:customStyle="1" w:styleId="86">
    <w:name w:val="标题 6 字符1"/>
    <w:link w:val="7"/>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uiPriority w:val="0"/>
    <w:pPr>
      <w:ind w:left="420" w:hanging="420"/>
    </w:pPr>
    <w:rPr>
      <w:rFonts w:cs="宋体"/>
      <w:b/>
      <w:bCs/>
      <w:color w:val="FFFFFF"/>
      <w:szCs w:val="20"/>
    </w:rPr>
  </w:style>
  <w:style w:type="character" w:customStyle="1" w:styleId="89">
    <w:name w:val="页眉 Char"/>
    <w:uiPriority w:val="0"/>
    <w:rPr>
      <w:rFonts w:ascii="Arial Unicode MS" w:hAnsi="Arial Unicode MS" w:eastAsia="微软雅黑"/>
      <w:kern w:val="2"/>
      <w:sz w:val="18"/>
      <w:szCs w:val="22"/>
    </w:rPr>
  </w:style>
  <w:style w:type="character" w:customStyle="1" w:styleId="90">
    <w:name w:val="页脚 Char"/>
    <w:uiPriority w:val="99"/>
    <w:rPr>
      <w:rFonts w:ascii="Arial Unicode MS" w:hAnsi="Arial Unicode MS" w:eastAsia="微软雅黑"/>
      <w:kern w:val="2"/>
      <w:sz w:val="18"/>
      <w:szCs w:val="22"/>
    </w:rPr>
  </w:style>
  <w:style w:type="character" w:customStyle="1" w:styleId="91">
    <w:name w:val="文档结构图 字符1"/>
    <w:link w:val="11"/>
    <w:uiPriority w:val="0"/>
    <w:rPr>
      <w:rFonts w:eastAsia="Times New Roman"/>
      <w:szCs w:val="21"/>
      <w:shd w:val="clear" w:color="auto" w:fill="000080"/>
    </w:rPr>
  </w:style>
  <w:style w:type="character" w:customStyle="1" w:styleId="92">
    <w:name w:val="文档结构图 字符"/>
    <w:basedOn w:val="67"/>
    <w:uiPriority w:val="99"/>
    <w:rPr>
      <w:rFonts w:ascii="Microsoft YaHei UI" w:hAnsi="Times New Roman" w:eastAsia="Microsoft YaHei UI" w:cs="Times New Roman"/>
      <w:sz w:val="18"/>
      <w:szCs w:val="18"/>
    </w:rPr>
  </w:style>
  <w:style w:type="character" w:customStyle="1" w:styleId="93">
    <w:name w:val="文档结构图 Char1"/>
    <w:uiPriority w:val="99"/>
    <w:rPr>
      <w:rFonts w:ascii="宋体" w:hAnsi="Arial Unicode MS"/>
      <w:kern w:val="2"/>
      <w:sz w:val="18"/>
      <w:szCs w:val="18"/>
    </w:rPr>
  </w:style>
  <w:style w:type="character" w:customStyle="1" w:styleId="94">
    <w:name w:val="纯文本 字符"/>
    <w:basedOn w:val="67"/>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uiPriority w:val="10"/>
    <w:rPr>
      <w:rFonts w:asciiTheme="majorHAnsi" w:hAnsiTheme="majorHAnsi" w:eastAsiaTheme="majorEastAsia" w:cstheme="majorBidi"/>
      <w:b/>
      <w:bCs/>
      <w:sz w:val="32"/>
      <w:szCs w:val="32"/>
    </w:rPr>
  </w:style>
  <w:style w:type="character" w:customStyle="1" w:styleId="98">
    <w:name w:val="标题 字符1"/>
    <w:link w:val="32"/>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uiPriority w:val="99"/>
    <w:rPr>
      <w:rFonts w:ascii="Arial" w:hAnsi="Arial" w:eastAsia="Times New Roman" w:cs="Arial"/>
      <w:kern w:val="0"/>
      <w:sz w:val="18"/>
      <w:szCs w:val="18"/>
      <w:lang w:eastAsia="en-US"/>
    </w:rPr>
  </w:style>
  <w:style w:type="table" w:customStyle="1" w:styleId="105">
    <w:name w:val="网格表 4 - 着色 11"/>
    <w:basedOn w:val="34"/>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uiPriority w:val="0"/>
    <w:rPr>
      <w:rFonts w:cs="宋体"/>
      <w:szCs w:val="20"/>
    </w:rPr>
  </w:style>
  <w:style w:type="paragraph" w:customStyle="1" w:styleId="107">
    <w:name w:val="样式 标题 5 + (中文) 宋体"/>
    <w:basedOn w:val="6"/>
    <w:uiPriority w:val="0"/>
  </w:style>
  <w:style w:type="character" w:customStyle="1" w:styleId="108">
    <w:name w:val="纯文本 字符1"/>
    <w:link w:val="16"/>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字符1"/>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qFormat/>
    <w:uiPriority w:val="0"/>
    <w:pPr>
      <w:ind w:left="842" w:hanging="422"/>
    </w:pPr>
    <w:rPr>
      <w:rFonts w:cs="宋体"/>
    </w:rPr>
  </w:style>
  <w:style w:type="paragraph" w:customStyle="1" w:styleId="124">
    <w:name w:val="样式 图表目录 + 左侧:  2 字符 悬挂缩进: 2 字符1"/>
    <w:basedOn w:val="28"/>
    <w:qFormat/>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200" w:after="20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出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目录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theme" Target="theme/theme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chart" Target="charts/chart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hengzhoubz\Desktop\&#40644;&#39062;&#29747;\11.23&#40644;&#39062;&#29747;\3C%20Coating%203C&#28034;&#26009;\&#20013;&#25991;&#29256;-&#35266;&#28857;&#25968;&#25454;&#22270;&#34920;&#27169;&#26495;-&#20840;&#29699;20231017%20&#23454;&#20064;&#21516;&#23398;.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050" b="0" i="0" u="none" strike="noStrike" kern="1200" spc="0" baseline="0">
                <a:solidFill>
                  <a:schemeClr val="tx1">
                    <a:lumMod val="65000"/>
                    <a:lumOff val="35000"/>
                  </a:schemeClr>
                </a:solidFill>
                <a:latin typeface="Book Antiqua" panose="02040602050305030304" pitchFamily="1" charset="0"/>
                <a:ea typeface="+mn-ea"/>
                <a:cs typeface="+mn-cs"/>
              </a:defRPr>
            </a:pPr>
            <a:r>
              <a:rPr lang="zh-CN" altLang="en-US" sz="1050">
                <a:latin typeface="Book Antiqua" panose="02040602050305030304" pitchFamily="1" charset="0"/>
              </a:rPr>
              <a:t>全球市场主要企业排名</a:t>
            </a:r>
            <a:endParaRPr lang="en-US" altLang="zh-CN" sz="1050">
              <a:latin typeface="Book Antiqua" panose="02040602050305030304" pitchFamily="1" charset="0"/>
            </a:endParaRPr>
          </a:p>
        </c:rich>
      </c:tx>
      <c:layout>
        <c:manualLayout>
          <c:xMode val="edge"/>
          <c:yMode val="edge"/>
          <c:x val="0.332020778652668"/>
          <c:y val="0.0346320818516983"/>
        </c:manualLayout>
      </c:layout>
      <c:overlay val="0"/>
      <c:spPr>
        <a:noFill/>
        <a:ln>
          <a:noFill/>
        </a:ln>
        <a:effectLst/>
      </c:spPr>
    </c:title>
    <c:autoTitleDeleted val="0"/>
    <c:plotArea>
      <c:layout/>
      <c:barChart>
        <c:barDir val="bar"/>
        <c:grouping val="clustered"/>
        <c:varyColors val="1"/>
        <c:ser>
          <c:idx val="0"/>
          <c:order val="0"/>
          <c:tx>
            <c:strRef>
              <c:f>企业排序!$G$1</c:f>
              <c:strCache>
                <c:ptCount val="1"/>
                <c:pt idx="0">
                  <c:v>2020</c:v>
                </c:pt>
              </c:strCache>
            </c:strRef>
          </c:tx>
          <c:spPr/>
          <c:invertIfNegative val="0"/>
          <c:dPt>
            <c:idx val="0"/>
            <c:invertIfNegative val="0"/>
            <c:bubble3D val="0"/>
            <c:spPr>
              <a:solidFill>
                <a:schemeClr val="accent1"/>
              </a:solidFill>
              <a:ln>
                <a:noFill/>
              </a:ln>
              <a:effectLst/>
            </c:spPr>
          </c:dPt>
          <c:dPt>
            <c:idx val="1"/>
            <c:invertIfNegative val="0"/>
            <c:bubble3D val="0"/>
            <c:spPr>
              <a:solidFill>
                <a:schemeClr val="accent2"/>
              </a:solidFill>
              <a:ln>
                <a:noFill/>
              </a:ln>
              <a:effectLst/>
            </c:spPr>
          </c:dPt>
          <c:dPt>
            <c:idx val="2"/>
            <c:invertIfNegative val="0"/>
            <c:bubble3D val="0"/>
            <c:spPr>
              <a:solidFill>
                <a:schemeClr val="accent3"/>
              </a:solidFill>
              <a:ln>
                <a:noFill/>
              </a:ln>
              <a:effectLst/>
            </c:spPr>
          </c:dPt>
          <c:dPt>
            <c:idx val="3"/>
            <c:invertIfNegative val="0"/>
            <c:bubble3D val="0"/>
            <c:spPr>
              <a:solidFill>
                <a:schemeClr val="accent4"/>
              </a:solidFill>
              <a:ln>
                <a:noFill/>
              </a:ln>
              <a:effectLst/>
            </c:spPr>
          </c:dPt>
          <c:dPt>
            <c:idx val="4"/>
            <c:invertIfNegative val="0"/>
            <c:bubble3D val="0"/>
            <c:spPr>
              <a:solidFill>
                <a:schemeClr val="accent5"/>
              </a:solidFill>
              <a:ln>
                <a:noFill/>
              </a:ln>
              <a:effectLst/>
            </c:spPr>
          </c:dPt>
          <c:dPt>
            <c:idx val="5"/>
            <c:invertIfNegative val="0"/>
            <c:bubble3D val="0"/>
            <c:spPr>
              <a:solidFill>
                <a:schemeClr val="accent6"/>
              </a:solidFill>
              <a:ln>
                <a:noFill/>
              </a:ln>
              <a:effectLst/>
            </c:spPr>
          </c:dPt>
          <c:dPt>
            <c:idx val="6"/>
            <c:invertIfNegative val="0"/>
            <c:bubble3D val="0"/>
            <c:spPr>
              <a:solidFill>
                <a:schemeClr val="accent1">
                  <a:lumMod val="60000"/>
                </a:schemeClr>
              </a:solidFill>
              <a:ln>
                <a:noFill/>
              </a:ln>
              <a:effectLst/>
            </c:spPr>
          </c:dPt>
          <c:dPt>
            <c:idx val="7"/>
            <c:invertIfNegative val="0"/>
            <c:bubble3D val="0"/>
            <c:spPr>
              <a:solidFill>
                <a:schemeClr val="accent2">
                  <a:lumMod val="60000"/>
                </a:schemeClr>
              </a:solidFill>
              <a:ln>
                <a:noFill/>
              </a:ln>
              <a:effectLst/>
            </c:spPr>
          </c:dPt>
          <c:dPt>
            <c:idx val="8"/>
            <c:invertIfNegative val="0"/>
            <c:bubble3D val="0"/>
            <c:spPr>
              <a:solidFill>
                <a:schemeClr val="accent3">
                  <a:lumMod val="60000"/>
                </a:schemeClr>
              </a:solidFill>
              <a:ln>
                <a:noFill/>
              </a:ln>
              <a:effectLst/>
            </c:spPr>
          </c:dPt>
          <c:dPt>
            <c:idx val="9"/>
            <c:invertIfNegative val="0"/>
            <c:bubble3D val="0"/>
            <c:spPr>
              <a:solidFill>
                <a:schemeClr val="accent4">
                  <a:lumMod val="60000"/>
                </a:schemeClr>
              </a:solidFill>
              <a:ln>
                <a:noFill/>
              </a:ln>
              <a:effectLst/>
            </c:spPr>
          </c:dPt>
          <c:dPt>
            <c:idx val="10"/>
            <c:invertIfNegative val="0"/>
            <c:bubble3D val="0"/>
            <c:spPr>
              <a:solidFill>
                <a:schemeClr val="accent5">
                  <a:lumMod val="60000"/>
                </a:schemeClr>
              </a:solidFill>
              <a:ln>
                <a:noFill/>
              </a:ln>
              <a:effectLst/>
            </c:spPr>
          </c:dPt>
          <c:dLbls>
            <c:delete val="1"/>
          </c:dLbls>
          <c:cat>
            <c:strRef>
              <c:f>企业排序!$F$2:$F$12</c:f>
              <c:strCache>
                <c:ptCount val="11"/>
                <c:pt idx="0">
                  <c:v>Rida</c:v>
                </c:pt>
                <c:pt idx="1">
                  <c:v>Hipro</c:v>
                </c:pt>
                <c:pt idx="2">
                  <c:v>Origin</c:v>
                </c:pt>
                <c:pt idx="3">
                  <c:v>Cashew</c:v>
                </c:pt>
                <c:pt idx="4">
                  <c:v>NATOCO</c:v>
                </c:pt>
                <c:pt idx="5">
                  <c:v>Sokan</c:v>
                </c:pt>
                <c:pt idx="6">
                  <c:v>Sherwin-Williams</c:v>
                </c:pt>
                <c:pt idx="7">
                  <c:v>Beckers</c:v>
                </c:pt>
                <c:pt idx="8">
                  <c:v>Musashi Paint</c:v>
                </c:pt>
                <c:pt idx="9">
                  <c:v>PPG</c:v>
                </c:pt>
                <c:pt idx="10">
                  <c:v>AkzoNobel</c:v>
                </c:pt>
              </c:strCache>
            </c:strRef>
          </c:cat>
          <c:val>
            <c:numRef>
              <c:f>企业排序!$G$2:$G$12</c:f>
              <c:numCache>
                <c:formatCode>#,##0.00_ </c:formatCode>
                <c:ptCount val="11"/>
                <c:pt idx="0">
                  <c:v>8.84</c:v>
                </c:pt>
                <c:pt idx="1">
                  <c:v>39.04</c:v>
                </c:pt>
                <c:pt idx="2">
                  <c:v>44.03</c:v>
                </c:pt>
                <c:pt idx="3">
                  <c:v>45.68</c:v>
                </c:pt>
                <c:pt idx="4">
                  <c:v>53.85</c:v>
                </c:pt>
                <c:pt idx="5">
                  <c:v>60.82</c:v>
                </c:pt>
                <c:pt idx="6">
                  <c:v>62.73</c:v>
                </c:pt>
                <c:pt idx="7">
                  <c:v>95.82</c:v>
                </c:pt>
                <c:pt idx="8">
                  <c:v>99.88</c:v>
                </c:pt>
                <c:pt idx="9">
                  <c:v>137.81</c:v>
                </c:pt>
                <c:pt idx="10">
                  <c:v>170.39</c:v>
                </c:pt>
              </c:numCache>
            </c:numRef>
          </c:val>
        </c:ser>
        <c:dLbls>
          <c:showLegendKey val="0"/>
          <c:showVal val="0"/>
          <c:showCatName val="0"/>
          <c:showSerName val="0"/>
          <c:showPercent val="0"/>
          <c:showBubbleSize val="0"/>
        </c:dLbls>
        <c:gapWidth val="75"/>
        <c:axId val="1272139183"/>
        <c:axId val="1326546959"/>
      </c:barChart>
      <c:catAx>
        <c:axId val="1272139183"/>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326546959"/>
        <c:crosses val="autoZero"/>
        <c:auto val="1"/>
        <c:lblAlgn val="ctr"/>
        <c:lblOffset val="100"/>
        <c:noMultiLvlLbl val="0"/>
      </c:catAx>
      <c:valAx>
        <c:axId val="1326546959"/>
        <c:scaling>
          <c:orientation val="minMax"/>
        </c:scaling>
        <c:delete val="0"/>
        <c:axPos val="b"/>
        <c:majorGridlines>
          <c:spPr>
            <a:ln w="9525" cap="flat" cmpd="sng" algn="ctr">
              <a:noFill/>
              <a:round/>
            </a:ln>
            <a:effectLst/>
          </c:spPr>
        </c:majorGridlines>
        <c:numFmt formatCode="#,##0.0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27213918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2056"/>
    <customShpInfo spid="_x0000_s205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97A4541-0E2B-4560-8636-38C0394D2046}">
  <ds:schemaRefs/>
</ds:datastoreItem>
</file>

<file path=docProps/app.xml><?xml version="1.0" encoding="utf-8"?>
<Properties xmlns="http://schemas.openxmlformats.org/officeDocument/2006/extended-properties" xmlns:vt="http://schemas.openxmlformats.org/officeDocument/2006/docPropsVTypes">
  <Template>Normal</Template>
  <Pages>3</Pages>
  <Words>142</Words>
  <Characters>816</Characters>
  <Lines>6</Lines>
  <Paragraphs>1</Paragraphs>
  <TotalTime>637</TotalTime>
  <ScaleCrop>false</ScaleCrop>
  <LinksUpToDate>false</LinksUpToDate>
  <CharactersWithSpaces>957</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鼕鼕</cp:lastModifiedBy>
  <dcterms:modified xsi:type="dcterms:W3CDTF">2023-12-11T10:29:02Z</dcterms:modified>
  <cp:revision>800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AADD327BCB384E85A0DED749A5C0F1D9_13</vt:lpwstr>
  </property>
</Properties>
</file>