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38987549"/>
      <w:bookmarkStart w:id="3" w:name="_Toc481801204"/>
      <w:bookmarkStart w:id="4" w:name="OLE_LINK15"/>
      <w:bookmarkStart w:id="5" w:name="_Toc418070112"/>
      <w:bookmarkStart w:id="6" w:name="OLE_LINK13"/>
      <w:bookmarkStart w:id="7" w:name="_Toc415143481"/>
      <w:bookmarkStart w:id="8" w:name="_Toc415142861"/>
      <w:bookmarkStart w:id="9" w:name="OLE_LINK40"/>
      <w:bookmarkStart w:id="10" w:name="OLE_LINK39"/>
      <w:bookmarkStart w:id="11" w:name="OLE_LINK24"/>
      <w:bookmarkStart w:id="12" w:name="_Toc415818939"/>
      <w:r>
        <w:rPr>
          <w:lang w:eastAsia="zh-CN"/>
        </w:rPr>
        <w:t>生物基变压器油</w:t>
      </w:r>
      <w:r>
        <w:rPr>
          <w:rFonts w:hint="eastAsia"/>
          <w:lang w:eastAsia="zh-CN"/>
        </w:rPr>
        <w:t>全球市场总体规模</w:t>
      </w:r>
    </w:p>
    <w:p>
      <w:pPr>
        <w:pStyle w:val="145"/>
        <w:rPr>
          <w:rFonts w:ascii="Times New Roman" w:hAnsi="Times New Roman" w:cs="Times New Roman"/>
          <w:lang w:eastAsia="zh-CN"/>
        </w:rPr>
      </w:pPr>
      <w:r>
        <w:rPr>
          <w:rFonts w:ascii="Times New Roman" w:hAnsi="Times New Roman" w:cs="Times New Roman"/>
          <w:lang w:eastAsia="zh-CN"/>
        </w:rPr>
        <w:t>生物基变压器油或酯类变压器油是在高温下稳定并且具有出色的电绝缘性能的特殊油。它在变压器中起着两个重要的功能，即抑制电弧和消除变压器中产生的热量。</w:t>
      </w:r>
    </w:p>
    <w:p>
      <w:pPr>
        <w:pStyle w:val="145"/>
        <w:rPr>
          <w:lang w:eastAsia="zh-CN"/>
        </w:rPr>
      </w:pPr>
      <w:r>
        <w:rPr>
          <w:rFonts w:ascii="Times New Roman" w:hAnsi="Times New Roman" w:cs="Times New Roman"/>
        </w:rPr>
        <w:drawing>
          <wp:inline distT="0" distB="0" distL="0" distR="0">
            <wp:extent cx="5274310" cy="2352675"/>
            <wp:effectExtent l="0" t="0" r="0" b="0"/>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pic:cNvPicPr>
                      <a:picLocks noChangeAspect="1"/>
                    </pic:cNvPicPr>
                  </pic:nvPicPr>
                  <pic:blipFill>
                    <a:blip r:embed="rId8"/>
                    <a:stretch>
                      <a:fillRect/>
                    </a:stretch>
                  </pic:blipFill>
                  <pic:spPr>
                    <a:xfrm>
                      <a:off x="0" y="0"/>
                      <a:ext cx="5274310" cy="2352675"/>
                    </a:xfrm>
                    <a:prstGeom prst="rect">
                      <a:avLst/>
                    </a:prstGeom>
                  </pic:spPr>
                </pic:pic>
              </a:graphicData>
            </a:graphic>
          </wp:inline>
        </w:drawing>
      </w:r>
    </w:p>
    <w:p>
      <w:pPr>
        <w:widowControl/>
        <w:topLinePunct w:val="0"/>
        <w:spacing w:after="0"/>
        <w:rPr>
          <w:lang w:val="en-US" w:eastAsia="zh-CN"/>
        </w:rPr>
      </w:pPr>
      <w:r>
        <w:rPr>
          <w:rFonts w:ascii="Book Antiqua" w:hAnsi="Book Antiqua" w:cs="宋体"/>
          <w:kern w:val="0"/>
          <w:sz w:val="24"/>
          <w:szCs w:val="24"/>
        </w:rPr>
        <w:t>据QYResearch调研团队最新报告“全球生物基变压器油市场报告2023-2029”显示，预计2029年全球生物基变压器油市场规模将达到1.1亿美元，未来几年年复合增长率CAGR为7.0%。</w:t>
      </w:r>
    </w:p>
    <w:p>
      <w:pPr>
        <w:pStyle w:val="148"/>
        <w:rPr>
          <w:lang w:eastAsia="zh-CN"/>
        </w:rPr>
      </w:pPr>
      <w:r>
        <w:rPr>
          <w:lang w:eastAsia="zh-CN"/>
        </w:rPr>
        <w:t>生物基变压器油</w:t>
      </w:r>
      <w:r>
        <w:rPr>
          <w:rFonts w:hint="eastAsia"/>
          <w:lang w:eastAsia="zh-CN"/>
        </w:rPr>
        <w:t>，全球市场总体规模</w:t>
      </w:r>
    </w:p>
    <w:p>
      <w:pPr>
        <w:pStyle w:val="145"/>
      </w:pPr>
      <w:r>
        <w:drawing>
          <wp:inline distT="0" distB="0" distL="0" distR="0">
            <wp:extent cx="6188710" cy="2886710"/>
            <wp:effectExtent l="0" t="0" r="2540" b="889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生物基变压器油</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生物基变压器油</w:t>
      </w:r>
      <w:r>
        <w:rPr>
          <w:rFonts w:hint="eastAsia"/>
          <w:lang w:eastAsia="zh-CN"/>
        </w:rPr>
        <w:t>市场前</w:t>
      </w:r>
      <w:r>
        <w:rPr>
          <w:lang w:eastAsia="zh-CN"/>
        </w:rPr>
        <w:t>6</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876800"/>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生物基变压器油</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全球范围内生物基变压器油生产商主要包括Cargill、M&amp;I Materials Limited、Shell、Raj Petro Specialties、Sinopec等。2021年，全球前四大厂商占有大约80.0%的市场份额。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2023全球与中国生物基变压器油市场专精特新“小巨人”企业调研报告</w:t>
      </w:r>
    </w:p>
    <w:p>
      <w:pPr>
        <w:pStyle w:val="145"/>
        <w:rPr>
          <w:rFonts w:hint="eastAsia"/>
          <w:lang w:eastAsia="zh-CN"/>
        </w:rPr>
      </w:pPr>
      <w:bookmarkStart w:id="13" w:name="_GoBack"/>
      <w:bookmarkEnd w:id="13"/>
      <w:r>
        <w:rPr>
          <w:rFonts w:hint="eastAsia"/>
          <w:lang w:eastAsia="zh-CN"/>
        </w:rPr>
        <w:t>生物基变压器油的生产商较少，Cargill和M&amp;I Materials Limited这个行业的主要生产商。嘉吉被认为是全球市场的领导者，占据了约64%的市场份额。</w:t>
      </w:r>
    </w:p>
    <w:p>
      <w:pPr>
        <w:pStyle w:val="145"/>
        <w:rPr>
          <w:rFonts w:hint="eastAsia"/>
          <w:lang w:eastAsia="zh-CN"/>
        </w:rPr>
      </w:pPr>
      <w:r>
        <w:rPr>
          <w:rFonts w:hint="eastAsia"/>
          <w:lang w:eastAsia="zh-CN"/>
        </w:rPr>
        <w:t>在产品类别上，生物基变压器油一般可以分为天然酯变压器油 与合成酯变压器油两类，其中在2019年，合成酯变压器油以超过50%的份额占据总市场主导地位。</w:t>
      </w:r>
    </w:p>
    <w:p>
      <w:pPr>
        <w:pStyle w:val="145"/>
        <w:rPr>
          <w:rFonts w:hint="eastAsia"/>
          <w:lang w:eastAsia="zh-CN"/>
        </w:rPr>
      </w:pPr>
      <w:r>
        <w:rPr>
          <w:rFonts w:hint="eastAsia"/>
          <w:lang w:eastAsia="zh-CN"/>
        </w:rPr>
        <w:t>本文侧重研究全球生物基变压器油总体规模及主要厂商占有率和排名，主要统计指标包括生物基变压器油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1EBD"/>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881"/>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2F"/>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55A7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engzhoubz\Desktop\&#38472;&#22025;&#26753;2\&#35266;&#28857;&#25968;&#25454;&#22270;&#34920;&#27169;&#26495;-&#20840;&#29699;20231017%20&#23454;&#20064;&#21516;&#23398;.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engzhoubz\Desktop\&#38472;&#22025;&#26753;2\&#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63.22</c:v>
                </c:pt>
                <c:pt idx="1">
                  <c:v>74.85</c:v>
                </c:pt>
                <c:pt idx="2">
                  <c:v>112.971714452313</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manualLayout>
          <c:layoutTarget val="inner"/>
          <c:xMode val="edge"/>
          <c:yMode val="edge"/>
          <c:x val="0.168386920384952"/>
          <c:y val="0.102998174771119"/>
          <c:w val="0.787168635170604"/>
          <c:h val="0.871139795443472"/>
        </c:manualLayout>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Lbls>
            <c:delete val="1"/>
          </c:dLbls>
          <c:cat>
            <c:strRef>
              <c:f>企业排序!$F$2:$F$7</c:f>
              <c:strCache>
                <c:ptCount val="6"/>
                <c:pt idx="0">
                  <c:v>Savita Oil</c:v>
                </c:pt>
                <c:pt idx="1">
                  <c:v>中国石化</c:v>
                </c:pt>
                <c:pt idx="2">
                  <c:v>Raj Petro Specialties</c:v>
                </c:pt>
                <c:pt idx="3">
                  <c:v>壳牌</c:v>
                </c:pt>
                <c:pt idx="4">
                  <c:v>M&amp;I Materials Limited</c:v>
                </c:pt>
                <c:pt idx="5">
                  <c:v>嘉吉</c:v>
                </c:pt>
              </c:strCache>
            </c:strRef>
          </c:cat>
          <c:val>
            <c:numRef>
              <c:f>企业排序!$G$2:$G$7</c:f>
              <c:numCache>
                <c:formatCode>#,##0.00_ </c:formatCode>
                <c:ptCount val="6"/>
                <c:pt idx="0">
                  <c:v>1.06</c:v>
                </c:pt>
                <c:pt idx="1">
                  <c:v>1.67</c:v>
                </c:pt>
                <c:pt idx="2">
                  <c:v>1.76</c:v>
                </c:pt>
                <c:pt idx="3">
                  <c:v>3.08</c:v>
                </c:pt>
                <c:pt idx="4">
                  <c:v>14.31</c:v>
                </c:pt>
                <c:pt idx="5">
                  <c:v>35.84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0.51832</cdr:x>
      <cdr:y>0.1095</cdr:y>
    </cdr:from>
    <cdr:to>
      <cdr:x>0.75094</cdr:x>
      <cdr:y>0.28528</cdr:y>
    </cdr:to>
    <cdr:cxnSp>
      <cdr:nvCxnSpPr>
        <cdr:cNvPr id="2" name="直接箭头连接符 1"/>
        <cdr:cNvCxnSpPr/>
      </cdr:nvCxnSpPr>
      <cdr:spPr xmlns:a="http://schemas.openxmlformats.org/drawingml/2006/main">
        <a:xfrm xmlns:a="http://schemas.openxmlformats.org/drawingml/2006/main" flipV="1">
          <a:off x="3399347" y="335059"/>
          <a:ext cx="1525640" cy="537887"/>
        </a:xfrm>
        <a:prstGeom xmlns:a="http://schemas.openxmlformats.org/drawingml/2006/main" prst="straightConnector1">
          <a:avLst/>
        </a:prstGeom>
        <a:solidFill>
          <a:srgbClr val="FFC000"/>
        </a:solid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0.56837</cdr:x>
      <cdr:y>0.15759</cdr:y>
    </cdr:from>
    <cdr:to>
      <cdr:x>0.70388</cdr:x>
      <cdr:y>0.25076</cdr:y>
    </cdr:to>
    <cdr:sp>
      <cdr:nvSpPr>
        <cdr:cNvPr id="3" name="椭圆 2"/>
        <cdr:cNvSpPr/>
      </cdr:nvSpPr>
      <cdr:spPr xmlns:a="http://schemas.openxmlformats.org/drawingml/2006/main">
        <a:xfrm xmlns:a="http://schemas.openxmlformats.org/drawingml/2006/main" rot="20477554">
          <a:off x="3727610" y="482226"/>
          <a:ext cx="888734" cy="285101"/>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7.0%</a:t>
          </a:r>
          <a:endParaRPr lang="zh-CN" sz="800" baseline="0">
            <a:solidFill>
              <a:sysClr val="windowText" lastClr="000000"/>
            </a:solidFill>
            <a:latin typeface="Book Antiqua" panose="02040602050305030304" pitchFamily="1" charset="0"/>
            <a:ea typeface="宋体" panose="02010600030101010101" charset="-122"/>
          </a:endParaRPr>
        </a:p>
      </cdr:txBody>
    </cdr:sp>
  </cdr:relSizeAnchor>
  <cdr:relSizeAnchor xmlns:cdr="http://schemas.openxmlformats.org/drawingml/2006/chartDrawing">
    <cdr:from>
      <cdr:x>0.20488</cdr:x>
      <cdr:y>0.32556</cdr:y>
    </cdr:from>
    <cdr:to>
      <cdr:x>0.46218</cdr:x>
      <cdr:y>0.43175</cdr:y>
    </cdr:to>
    <cdr:grpSp>
      <cdr:nvGrpSpPr>
        <cdr:cNvPr id="4" name="组合 3"/>
        <cdr:cNvGrpSpPr/>
      </cdr:nvGrpSpPr>
      <cdr:grpSpPr xmlns:a="http://schemas.openxmlformats.org/drawingml/2006/main">
        <a:xfrm rot="1783323">
          <a:off x="1267943" y="939797"/>
          <a:ext cx="1592355" cy="306540"/>
          <a:chOff x="3073853" y="2109728"/>
          <a:chExt cx="1319453" cy="328748"/>
        </a:xfrm>
      </cdr:grpSpPr>
      <cdr:cxnSp>
        <cdr:nvCxnSpPr>
          <cdr:cNvPr id="5" name="直接箭头连接符 4"/>
          <cdr:cNvCxnSpPr/>
        </cdr:nvCxnSpPr>
        <cdr:spPr xmlns:a="http://schemas.openxmlformats.org/drawingml/2006/main">
          <a:xfrm xmlns:a="http://schemas.openxmlformats.org/drawingml/2006/main" rot="19816677" flipV="1">
            <a:off x="3073853" y="2109728"/>
            <a:ext cx="1319453" cy="32874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6" name="椭圆 5"/>
          <cdr:cNvSpPr/>
        </cdr:nvSpPr>
        <cdr:spPr xmlns:a="http://schemas.openxmlformats.org/drawingml/2006/main">
          <a:xfrm xmlns:a="http://schemas.openxmlformats.org/drawingml/2006/main" rot="19026581">
            <a:off x="3366119" y="2199041"/>
            <a:ext cx="629845" cy="22667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latin typeface="Book Antiqua" panose="02040602050305030304" pitchFamily="1" charset="0"/>
              </a:rPr>
              <a:t>4.3%</a:t>
            </a:r>
            <a:endParaRPr lang="zh-CN" sz="800">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155C97-3D27-457D-B531-DA6D35C17D3C}">
  <ds:schemaRefs/>
</ds:datastoreItem>
</file>

<file path=docProps/app.xml><?xml version="1.0" encoding="utf-8"?>
<Properties xmlns="http://schemas.openxmlformats.org/officeDocument/2006/extended-properties" xmlns:vt="http://schemas.openxmlformats.org/officeDocument/2006/docPropsVTypes">
  <Template>Normal</Template>
  <Pages>3</Pages>
  <Words>154</Words>
  <Characters>879</Characters>
  <Lines>7</Lines>
  <Paragraphs>2</Paragraphs>
  <TotalTime>1</TotalTime>
  <ScaleCrop>false</ScaleCrop>
  <LinksUpToDate>false</LinksUpToDate>
  <CharactersWithSpaces>1031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2023-11-23T06:26:00Z</dcterms:created>
  <dc:creator>yangj</dc:creator>
  <cp:lastModifiedBy>鼕鼕</cp:lastModifiedBy>
  <dcterms:modified xsi:type="dcterms:W3CDTF">2023-12-18T10:48:14Z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9E9FE5FAD030465BB1FCAE6CACCE2EFE_13</vt:lpwstr>
  </property>
</Properties>
</file>