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KGSIRD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16.6pt;margin-top:28.35pt;margin-left:29.85pt;mso-position-horizontal-relative:page;mso-position-vertical-relative:page;position:absolute;z-index:-251656192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LDTUUC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LDTUUC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KGSIRD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LDTUUC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LDTUUC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Enalaprilat</w:t>
      </w:r>
      <w:r>
        <w:rPr>
          <w:rFonts w:ascii="LDTUUC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dihydrate</w:t>
      </w:r>
    </w:p>
    <w:p>
      <w:pPr>
        <w:spacing w:before="309" w:after="0" w:line="236" w:lineRule="exact"/>
        <w:ind w:left="0" w:right="0" w:firstLine="0"/>
        <w:jc w:val="left"/>
        <w:rPr>
          <w:rFonts w:ascii="KGSIR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LDTUUC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HY-B0231</w:t>
      </w:r>
    </w:p>
    <w:p>
      <w:pPr>
        <w:spacing w:before="109" w:after="0" w:line="236" w:lineRule="exact"/>
        <w:ind w:left="0" w:right="0" w:firstLine="0"/>
        <w:jc w:val="left"/>
        <w:rPr>
          <w:rFonts w:ascii="KGSIR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LDTUUC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84680-54-6</w:t>
      </w:r>
    </w:p>
    <w:p>
      <w:pPr>
        <w:spacing w:before="107" w:after="0" w:line="238" w:lineRule="exact"/>
        <w:ind w:left="0" w:right="0" w:firstLine="0"/>
        <w:jc w:val="left"/>
        <w:rPr>
          <w:rFonts w:ascii="KGSIR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FOBQF+AdobeHeitiStd-Regular-Identity-H" w:hAnsi="JFOBQF+AdobeHeitiStd-Regular-Identity-H" w:eastAsiaTheme="minorEastAsia" w:cs="JFOBQF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JFOBQF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KGSIRD+SegoeUI" w:eastAsiaTheme="minorEastAsia" w:cs="KGSIRD+SegoeUI"/>
          <w:color w:val="3E3A39"/>
          <w:sz w:val="17"/>
          <w:szCs w:val="22"/>
          <w:lang w:val="en-US" w:eastAsia="en-US" w:bidi="ar-SA"/>
        </w:rPr>
        <w:t>C₁₈H₂₈N₂O₇</w:t>
      </w:r>
    </w:p>
    <w:p>
      <w:pPr>
        <w:spacing w:before="105" w:after="0" w:line="238" w:lineRule="exact"/>
        <w:ind w:left="0" w:right="0" w:firstLine="0"/>
        <w:jc w:val="left"/>
        <w:rPr>
          <w:rFonts w:ascii="KGSIR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FOBQF+AdobeHeitiStd-Regular-Identity-H" w:hAnsi="JFOBQF+AdobeHeitiStd-Regular-Identity-H" w:eastAsiaTheme="minorEastAsia" w:cs="JFOBQF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JFOBQF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384.42</w:t>
      </w:r>
    </w:p>
    <w:p>
      <w:pPr>
        <w:spacing w:before="105" w:after="0" w:line="238" w:lineRule="exact"/>
        <w:ind w:left="0" w:right="0" w:firstLine="0"/>
        <w:jc w:val="left"/>
        <w:rPr>
          <w:rFonts w:ascii="KGSIR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FOBQF+AdobeHeitiStd-Regular-Identity-H" w:hAnsi="JFOBQF+AdobeHeitiStd-Regular-Identity-H" w:eastAsiaTheme="minorEastAsia" w:cs="JFOBQF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JFOBQF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Angiotensin-converting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(ACE);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Autophagy</w:t>
      </w:r>
    </w:p>
    <w:p>
      <w:pPr>
        <w:spacing w:before="107" w:after="0" w:line="236" w:lineRule="exact"/>
        <w:ind w:left="0" w:right="0" w:firstLine="0"/>
        <w:jc w:val="left"/>
        <w:rPr>
          <w:rFonts w:ascii="KGSIR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FOBQF+AdobeHeitiStd-Regular-Identity-H" w:hAnsi="JFOBQF+AdobeHeitiStd-Regular-Identity-H" w:eastAsiaTheme="minorEastAsia" w:cs="JFOBQF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JFOBQF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Metabolic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Enzyme/Protease;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Autophagy</w:t>
      </w:r>
    </w:p>
    <w:p>
      <w:pPr>
        <w:spacing w:before="109" w:after="0" w:line="236" w:lineRule="exact"/>
        <w:ind w:left="0" w:right="0" w:firstLine="0"/>
        <w:jc w:val="left"/>
        <w:rPr>
          <w:rFonts w:ascii="KGSIR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FOBQF+AdobeHeitiStd-Regular-Identity-H" w:hAnsi="JFOBQF+AdobeHeitiStd-Regular-Identity-H" w:eastAsiaTheme="minorEastAsia" w:cs="JFOBQF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JFOBQF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KGSIRD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KGSIRD+SegoeUI" w:eastAsiaTheme="minorEastAsia" w:cs="KGSIRD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KGSIRD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KGSIR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GSIRD+SegoeUI" w:hAnsi="KGSIRD+SegoeUI" w:eastAsiaTheme="minorEastAsia" w:cs="KGSIRD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KGSIRD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KGSIR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KGSIRD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KGSIRD+SegoeUI" w:eastAsiaTheme="minorEastAsia" w:cs="KGSIRD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KGSIRD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KGSIR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GSIRD+SegoeUI" w:hAnsi="KGSIRD+SegoeUI" w:eastAsiaTheme="minorEastAsia" w:cs="KGSIRD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KGSIRD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JFOBQF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JFOBQF+AdobeHeitiStd-Regular-Identity-H" w:hAnsi="JFOBQF+AdobeHeitiStd-Regular-Identity-H" w:eastAsiaTheme="minorEastAsia" w:cs="JFOBQF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KGSIR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FOBQF+AdobeHeitiStd-Regular-Identity-H" w:hAnsi="JFOBQF+AdobeHeitiStd-Regular-Identity-H" w:eastAsiaTheme="minorEastAsia" w:cs="JFOBQF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JFOBQF+AdobeHeitiStd-Regular-Identity-H" w:hAnsi="Calibri" w:eastAsiaTheme="minorEastAsia" w:cstheme="minorBidi"/>
          <w:color w:val="3E3A39"/>
          <w:spacing w:val="1028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LDTUUC+SegoeUI-SemiBold" w:eastAsiaTheme="minorEastAsia" w:cs="LDTUUC+SegoeUI-SemiBold"/>
          <w:b/>
          <w:color w:val="3E3A39"/>
          <w:sz w:val="17"/>
          <w:szCs w:val="22"/>
          <w:lang w:val="en-US" w:eastAsia="en-US" w:bidi="ar-SA"/>
        </w:rPr>
        <w:t>≥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100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260.13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5" w:after="0" w:line="236" w:lineRule="exact"/>
        <w:ind w:left="1996" w:right="0" w:firstLine="0"/>
        <w:jc w:val="left"/>
        <w:rPr>
          <w:rFonts w:ascii="KGSIR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</w:t>
      </w:r>
      <w:r>
        <w:rPr>
          <w:rFonts w:ascii="LDTUUC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12.5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32.52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p>
      <w:pPr>
        <w:spacing w:before="35" w:after="256" w:line="236" w:lineRule="exact"/>
        <w:ind w:left="1996" w:right="0" w:firstLine="0"/>
        <w:jc w:val="left"/>
        <w:rPr>
          <w:rFonts w:ascii="KGSIR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GSIRD+SegoeUI" w:hAnsi="Calibri" w:eastAsiaTheme="minorEastAsia" w:cstheme="minorBidi"/>
          <w:color w:val="808285"/>
          <w:sz w:val="17"/>
          <w:szCs w:val="22"/>
          <w:lang w:val="en-US" w:eastAsia="en-US" w:bidi="ar-SA"/>
        </w:rPr>
        <w:t>*</w:t>
      </w:r>
      <w:r>
        <w:rPr>
          <w:rFonts w:ascii="KGSIR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KGSIRD+SegoeUI" w:eastAsiaTheme="minorEastAsia" w:cs="KGSIRD+SegoeUI"/>
          <w:color w:val="808285"/>
          <w:sz w:val="17"/>
          <w:szCs w:val="22"/>
          <w:lang w:val="en-US" w:eastAsia="en-US" w:bidi="ar-SA"/>
        </w:rPr>
        <w:t>"≥"</w:t>
      </w:r>
      <w:r>
        <w:rPr>
          <w:rFonts w:ascii="KGSIR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means</w:t>
      </w:r>
      <w:r>
        <w:rPr>
          <w:rFonts w:ascii="KGSIR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7"/>
          <w:szCs w:val="22"/>
          <w:lang w:val="en-US" w:eastAsia="en-US" w:bidi="ar-SA"/>
        </w:rPr>
        <w:t>soluble,</w:t>
      </w:r>
      <w:r>
        <w:rPr>
          <w:rFonts w:ascii="KGSIR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7"/>
          <w:szCs w:val="22"/>
          <w:lang w:val="en-US" w:eastAsia="en-US" w:bidi="ar-SA"/>
        </w:rPr>
        <w:t>but</w:t>
      </w:r>
      <w:r>
        <w:rPr>
          <w:rFonts w:ascii="KGSIR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7"/>
          <w:szCs w:val="22"/>
          <w:lang w:val="en-US" w:eastAsia="en-US" w:bidi="ar-SA"/>
        </w:rPr>
        <w:t>saturation</w:t>
      </w:r>
      <w:r>
        <w:rPr>
          <w:rFonts w:ascii="KGSIRD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7"/>
          <w:szCs w:val="22"/>
          <w:lang w:val="en-US" w:eastAsia="en-US" w:bidi="ar-SA"/>
        </w:rPr>
        <w:t>unknown.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56"/>
        <w:gridCol w:w="728"/>
        <w:gridCol w:w="20"/>
        <w:gridCol w:w="1154"/>
        <w:gridCol w:w="20"/>
        <w:gridCol w:w="407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5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GSIRD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LDTUUC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DTUUC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5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LDTUUC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DTUUC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72" w:type="dxa"/>
            <w:noWrap w:val="0"/>
            <w:textDirection w:val="lrTb"/>
            <w:tcFitText w:val="0"/>
            <w:vAlign w:val="top"/>
          </w:tcPr>
          <w:p>
            <w:pPr>
              <w:spacing w:before="207" w:after="0" w:line="226" w:lineRule="exact"/>
              <w:ind w:left="0" w:right="0" w:firstLine="0"/>
              <w:jc w:val="left"/>
              <w:rPr>
                <w:rFonts w:ascii="LDTUUC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LDTUUC+SegoeUI-SemiBold" w:hAnsi="Calibri" w:eastAsiaTheme="minorEastAsia" w:cstheme="minorBidi"/>
                <w:b/>
                <w:color w:val="3E3A39"/>
                <w:spacing w:val="13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LDTUUC+SegoeUI-SemiBold" w:hAnsi="Calibri" w:eastAsiaTheme="minorEastAsia" w:cstheme="minorBidi"/>
                <w:b/>
                <w:color w:val="3E3A39"/>
                <w:spacing w:val="129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14" w:right="0" w:firstLine="0"/>
        <w:jc w:val="left"/>
        <w:rPr>
          <w:rFonts w:ascii="LDTUUC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6"/>
        <w:gridCol w:w="2357"/>
        <w:gridCol w:w="20"/>
        <w:gridCol w:w="626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DTUUC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57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JFOBQ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FOBQF+AdobeHeitiStd-Regular-Identity-H" w:hAnsi="JFOBQF+AdobeHeitiStd-Regular-Identity-H" w:eastAsiaTheme="minorEastAsia" w:cs="JFOBQF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OBQ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6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KGSIRD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LDTUUC+SegoeUI-SemiBold" w:hAnsi="Calibri" w:eastAsiaTheme="minorEastAsia" w:cstheme="minorBidi"/>
                <w:b/>
                <w:color w:val="3E3A39"/>
                <w:spacing w:val="132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SIRD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2.6013</w:t>
            </w:r>
            <w:r>
              <w:rPr>
                <w:rFonts w:ascii="KGSIRD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SIRD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KGSIRD+SegoeUI" w:hAnsi="Calibri" w:eastAsiaTheme="minorEastAsia" w:cstheme="minorBidi"/>
                <w:color w:val="3E3A39"/>
                <w:spacing w:val="90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SIRD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13.0066</w:t>
            </w:r>
            <w:r>
              <w:rPr>
                <w:rFonts w:ascii="KGSIRD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SIRD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KGSIRD+SegoeUI" w:hAnsi="Calibri" w:eastAsiaTheme="minorEastAsia" w:cstheme="minorBidi"/>
                <w:color w:val="3E3A39"/>
                <w:spacing w:val="87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SIRD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26.0132</w:t>
            </w:r>
            <w:r>
              <w:rPr>
                <w:rFonts w:ascii="KGSIRD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GSIRD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72" w:right="0" w:firstLine="0"/>
        <w:jc w:val="left"/>
        <w:rPr>
          <w:rFonts w:ascii="KGSIR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LDTUUC+SegoeUI-SemiBold" w:hAnsi="Calibri" w:eastAsiaTheme="minorEastAsia" w:cstheme="minorBidi"/>
          <w:b/>
          <w:color w:val="3E3A39"/>
          <w:spacing w:val="1324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0.5203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KGSIRD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2.6013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KGSIRD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5.2026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25" w:right="0" w:firstLine="0"/>
        <w:jc w:val="left"/>
        <w:rPr>
          <w:rFonts w:ascii="KGSIR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LDTUUC+SegoeUI-SemiBold" w:hAnsi="Calibri" w:eastAsiaTheme="minorEastAsia" w:cstheme="minorBidi"/>
          <w:b/>
          <w:color w:val="3E3A39"/>
          <w:spacing w:val="1277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0.2601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KGSIRD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1.3007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KGSIRD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2.6013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6" w:right="0" w:firstLine="0"/>
        <w:jc w:val="left"/>
        <w:rPr>
          <w:rFonts w:ascii="JFOBQF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JFOBQF+AdobeHeitiStd-Regular-Identity-H" w:hAnsi="JFOBQF+AdobeHeitiStd-Regular-Identity-H" w:eastAsiaTheme="minorEastAsia" w:cs="JFOBQF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6" w:right="0" w:firstLine="0"/>
        <w:jc w:val="left"/>
        <w:rPr>
          <w:rFonts w:ascii="JFOBQF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JFOBQF+AdobeHeitiStd-Regular-Identity-H" w:hAnsi="JFOBQF+AdobeHeitiStd-Regular-Identity-H" w:eastAsiaTheme="minorEastAsia" w:cs="JFOBQF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KGSIRD+SegoeUI" w:hAnsi="KGSIRD+SegoeUI" w:eastAsiaTheme="minorEastAsia" w:cs="KGSIRD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KGSIRD+SegoeUI" w:eastAsiaTheme="minorEastAsia" w:cs="KGSIRD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JFOBQF+AdobeHeitiStd-Regular-Identity-H" w:hAnsi="JFOBQF+AdobeHeitiStd-Regular-Identity-H" w:eastAsiaTheme="minorEastAsia" w:cs="JFOBQF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KGSIRD+SegoeUI" w:hAnsi="KGSIRD+SegoeUI" w:eastAsiaTheme="minorEastAsia" w:cs="KGSIRD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KGSIRD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JFOBQF+AdobeHeitiStd-Regular-Identity-H" w:hAnsi="JFOBQF+AdobeHeitiStd-Regular-Identity-H" w:eastAsiaTheme="minorEastAsia" w:cs="JFOBQF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JFOBQF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KGSIRD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JFOBQF+AdobeHeitiStd-Regular-Identity-H" w:hAnsi="JFOBQF+AdobeHeitiStd-Regular-Identity-H" w:eastAsiaTheme="minorEastAsia" w:cs="JFOBQF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KGSIRD+SegoeUI" w:hAnsi="KGSIRD+SegoeUI" w:eastAsiaTheme="minorEastAsia" w:cs="KGSIRD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KGSIRD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JFOBQF+AdobeHeitiStd-Regular-Identity-H" w:hAnsi="JFOBQF+AdobeHeitiStd-Regular-Identity-H" w:eastAsiaTheme="minorEastAsia" w:cs="JFOBQF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6" w:right="0" w:firstLine="0"/>
        <w:jc w:val="left"/>
        <w:rPr>
          <w:rFonts w:ascii="JFOBQF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JFOBQF+AdobeHeitiStd-Regular-Identity-H" w:hAnsi="JFOBQF+AdobeHeitiStd-Regular-Identity-H" w:eastAsiaTheme="minorEastAsia" w:cs="JFOBQF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JFOBQF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KGSIRD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JFOBQF+AdobeHeitiStd-Regular-Identity-H" w:hAnsi="JFOBQF+AdobeHeitiStd-Regular-Identity-H" w:eastAsiaTheme="minorEastAsia" w:cs="JFOBQF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6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OBQ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JFOBQ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FOBQF+AdobeHeitiStd-Regular-Identity-H" w:hAnsi="JFOBQF+AdobeHeitiStd-Regular-Identity-H" w:eastAsiaTheme="minorEastAsia" w:cs="JFOBQF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OBQ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JFOBQ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FOBQF+AdobeHeitiStd-Regular-Identity-H" w:hAnsi="JFOBQF+AdobeHeitiStd-Regular-Identity-H" w:eastAsiaTheme="minorEastAsia" w:cs="JFOBQF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JFOBQF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LDTUUC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OBQF+AdobeHeitiStd-Regular-Identity-H" w:hAnsi="JFOBQF+AdobeHeitiStd-Regular-Identity-H" w:eastAsiaTheme="minorEastAsia" w:cs="JFOBQF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JFOBQF+AdobeHeitiStd-Regular-Identity-H" w:hAnsi="JFOBQF+AdobeHeitiStd-Regular-Identity-H" w:eastAsiaTheme="minorEastAsia" w:cs="JFOBQF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JFOBQF+AdobeHeitiStd-Regular-Identity-H" w:hAnsi="JFOBQF+AdobeHeitiStd-Regular-Identity-H" w:eastAsiaTheme="minorEastAsia" w:cs="JFOBQF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6" w:after="0" w:line="212" w:lineRule="exact"/>
              <w:ind w:left="0" w:right="0" w:firstLine="0"/>
              <w:jc w:val="left"/>
              <w:rPr>
                <w:rFonts w:ascii="JFOBQ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FOBQF+AdobeHeitiStd-Regular-Identity-H" w:hAnsi="JFOBQF+AdobeHeitiStd-Regular-Identity-H" w:eastAsiaTheme="minorEastAsia" w:cs="JFOBQF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JFOBQ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FOBQF+AdobeHeitiStd-Regular-Identity-H" w:hAnsi="JFOBQF+AdobeHeitiStd-Regular-Identity-H" w:eastAsiaTheme="minorEastAsia" w:cs="JFOBQF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JFOBQF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OBQF+AdobeHeitiStd-Regular-Identity-H" w:hAnsi="JFOBQF+AdobeHeitiStd-Regular-Identity-H" w:eastAsiaTheme="minorEastAsia" w:cs="JFOBQF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JFOBQ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FOBQF+AdobeHeitiStd-Regular-Identity-H" w:hAnsi="JFOBQF+AdobeHeitiStd-Regular-Identity-H" w:eastAsiaTheme="minorEastAsia" w:cs="JFOBQF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JFOBQF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OBQF+AdobeHeitiStd-Regular-Identity-H" w:hAnsi="JFOBQF+AdobeHeitiStd-Regular-Identity-H" w:eastAsiaTheme="minorEastAsia" w:cs="JFOBQF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JFOBQF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OBQF+AdobeHeitiStd-Regular-Identity-H" w:hAnsi="JFOBQF+AdobeHeitiStd-Regular-Identity-H" w:eastAsiaTheme="minorEastAsia" w:cs="JFOBQF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JFOBQ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FOBQF+AdobeHeitiStd-Regular-Identity-H" w:hAnsi="JFOBQF+AdobeHeitiStd-Regular-Identity-H" w:eastAsiaTheme="minorEastAsia" w:cs="JFOBQF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1" w:right="0" w:firstLine="0"/>
        <w:jc w:val="left"/>
        <w:rPr>
          <w:rFonts w:ascii="LDTUUC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FOBQF+AdobeHeitiStd-Regular-Identity-H" w:hAnsi="JFOBQF+AdobeHeitiStd-Regular-Identity-H" w:eastAsiaTheme="minorEastAsia" w:cs="JFOBQF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JFOBQF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LDTUUC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LDTUUC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LDTUUC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KGSIR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KGSIRD+SegoeUI" w:eastAsiaTheme="minorEastAsia" w:cs="KGSIRD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(6.50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JFOBQF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JFOBQF+AdobeHeitiStd-Regular-Identity-H" w:hAnsi="JFOBQF+AdobeHeitiStd-Regular-Identity-H" w:eastAsiaTheme="minorEastAsia" w:cs="JFOBQF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JFOBQF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KGSIRD+SegoeUI" w:eastAsiaTheme="minorEastAsia" w:cs="KGSIRD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(6.50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JFOBQF+AdobeHeitiStd-Regular-Identity-H" w:hAnsi="JFOBQF+AdobeHeitiStd-Regular-Identity-H" w:eastAsiaTheme="minorEastAsia" w:cs="JFOBQF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KGSIRD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FOBQF+AdobeHeitiStd-Regular-Identity-H" w:hAnsi="JFOBQF+AdobeHeitiStd-Regular-Identity-H" w:eastAsiaTheme="minorEastAsia" w:cs="JFOBQF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JFOBQF+AdobeHeitiStd-Regular-Identity-H" w:hAnsi="JFOBQF+AdobeHeitiStd-Regular-Identity-H" w:eastAsiaTheme="minorEastAsia" w:cs="JFOBQF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JFOBQF+AdobeHeitiStd-Regular-Identity-H" w:hAnsi="JFOBQF+AdobeHeitiStd-Regular-Identity-H" w:eastAsiaTheme="minorEastAsia" w:cs="JFOBQF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1" w:lineRule="exact"/>
        <w:ind w:left="2166" w:right="0" w:firstLine="0"/>
        <w:jc w:val="left"/>
        <w:rPr>
          <w:rFonts w:ascii="JFOBQF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JFOBQF+AdobeHeitiStd-Regular-Identity-H" w:hAnsi="JFOBQF+AdobeHeitiStd-Regular-Identity-H" w:eastAsiaTheme="minorEastAsia" w:cs="JFOBQF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JFOBQF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KGSIRD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FOBQF+AdobeHeitiStd-Regular-Identity-H" w:hAnsi="JFOBQF+AdobeHeitiStd-Regular-Identity-H" w:eastAsiaTheme="minorEastAsia" w:cs="JFOBQF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JFOBQF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KGSIRD+SegoeUI" w:eastAsiaTheme="minorEastAsia" w:cs="KGSIRD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KGSIRD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FOBQF+AdobeHeitiStd-Regular-Identity-H" w:hAnsi="JFOBQF+AdobeHeitiStd-Regular-Identity-H" w:eastAsiaTheme="minorEastAsia" w:cs="JFOBQF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JFOBQF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KGSIRD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FOBQF+AdobeHeitiStd-Regular-Identity-H" w:hAnsi="JFOBQF+AdobeHeitiStd-Regular-Identity-H" w:eastAsiaTheme="minorEastAsia" w:cs="JFOBQF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JFOBQF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KGSIRD+SegoeUI" w:eastAsiaTheme="minorEastAsia" w:cs="KGSIRD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KGSIRD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FOBQF+AdobeHeitiStd-Regular-Identity-H" w:hAnsi="JFOBQF+AdobeHeitiStd-Regular-Identity-H" w:eastAsiaTheme="minorEastAsia" w:cs="JFOBQF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JFOBQF+AdobeHeitiStd-Regular-Identity-H" w:hAnsi="JFOBQF+AdobeHeitiStd-Regular-Identity-H" w:eastAsiaTheme="minorEastAsia" w:cs="JFOBQF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KGSIRD+SegoeUI" w:eastAsiaTheme="minorEastAsia" w:cs="KGSIRD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JFOBQF+AdobeHeitiStd-Regular-Identity-H" w:hAnsi="JFOBQF+AdobeHeitiStd-Regular-Identity-H" w:eastAsiaTheme="minorEastAsia" w:cs="JFOBQF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JFOBQF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KGSIRD+SegoeUI" w:eastAsiaTheme="minorEastAsia" w:cs="KGSIRD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KGSIRD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FOBQF+AdobeHeitiStd-Regular-Identity-H" w:hAnsi="JFOBQF+AdobeHeitiStd-Regular-Identity-H" w:eastAsiaTheme="minorEastAsia" w:cs="JFOBQF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JFOBQF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JFOBQF+AdobeHeitiStd-Regular-Identity-H" w:hAnsi="JFOBQF+AdobeHeitiStd-Regular-Identity-H" w:eastAsiaTheme="minorEastAsia" w:cs="JFOBQF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1" w:right="0" w:firstLine="0"/>
        <w:jc w:val="left"/>
        <w:rPr>
          <w:rFonts w:ascii="LDTUUC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FOBQF+AdobeHeitiStd-Regular-Identity-H" w:hAnsi="JFOBQF+AdobeHeitiStd-Regular-Identity-H" w:eastAsiaTheme="minorEastAsia" w:cs="JFOBQF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JFOBQF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LDTUUC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DTUUC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6" w:right="0" w:firstLine="0"/>
        <w:jc w:val="left"/>
        <w:rPr>
          <w:rFonts w:ascii="KGSIRD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KGSIRD+SegoeUI" w:eastAsiaTheme="minorEastAsia" w:cs="KGSIRD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(6.50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GSIRD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538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61" w:lineRule="exact"/>
        <w:ind w:left="2166" w:right="0" w:firstLine="0"/>
        <w:jc w:val="left"/>
        <w:rPr>
          <w:rFonts w:ascii="ILAILB+AdobeHeitiStd-Regular-Identity-H" w:hAnsi="Calibri"/>
          <w:color w:val="000000"/>
          <w:sz w:val="16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4144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35pt;height:466.3pt;margin-top:34pt;margin-left:29.85pt;mso-position-horizontal-relative:page;mso-position-vertical-relative:page;position:absolute;z-index:-251655168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ILAILB+AdobeHeitiStd-Regular-Identity-H" w:hAnsi="ILAILB+AdobeHeitiStd-Regular-Identity-H" w:eastAsiaTheme="minorEastAsia" w:cs="ILAILB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ILAIL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BWHPRP+SegoeUI" w:eastAsiaTheme="minorEastAsia" w:cs="BWHPRP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>(6.50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ILAILB+AdobeHeitiStd-Regular-Identity-H" w:hAnsi="ILAILB+AdobeHeitiStd-Regular-Identity-H" w:eastAsiaTheme="minorEastAsia" w:cs="ILAILB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BWHPRP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LAILB+AdobeHeitiStd-Regular-Identity-H" w:hAnsi="ILAILB+AdobeHeitiStd-Regular-Identity-H" w:eastAsiaTheme="minorEastAsia" w:cs="ILAILB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ILAILB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ILAILB+AdobeHeitiStd-Regular-Identity-H" w:hAnsi="ILAILB+AdobeHeitiStd-Regular-Identity-H" w:eastAsiaTheme="minorEastAsia" w:cs="ILAILB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ILAILB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ILAILB+AdobeHeitiStd-Regular-Identity-H" w:hAnsi="ILAILB+AdobeHeitiStd-Regular-Identity-H" w:eastAsiaTheme="minorEastAsia" w:cs="ILAILB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  <w:r>
        <w:rPr>
          <w:rFonts w:ascii="ILAILB+AdobeHeitiStd-Regular-Identity-H" w:hAnsi="ILAILB+AdobeHeitiStd-Regular-Identity-H" w:eastAsiaTheme="minorEastAsia" w:cs="ILAILB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ILAILB+AdobeHeitiStd-Regular-Identity-H" w:hAnsi="ILAILB+AdobeHeitiStd-Regular-Identity-H" w:eastAsiaTheme="minorEastAsia" w:cs="ILAILB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ILAIL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BWHPRP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LAILB+AdobeHeitiStd-Regular-Identity-H" w:hAnsi="ILAILB+AdobeHeitiStd-Regular-Identity-H" w:eastAsiaTheme="minorEastAsia" w:cs="ILAILB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ILAIL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BWHPRP+SegoeUI" w:eastAsiaTheme="minorEastAsia" w:cs="BWHPRP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BWHPRP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LAILB+AdobeHeitiStd-Regular-Identity-H" w:hAnsi="ILAILB+AdobeHeitiStd-Regular-Identity-H" w:eastAsiaTheme="minorEastAsia" w:cs="ILAILB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ILAILB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BWHPRP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LAILB+AdobeHeitiStd-Regular-Identity-H" w:hAnsi="ILAILB+AdobeHeitiStd-Regular-Identity-H" w:eastAsiaTheme="minorEastAsia" w:cs="ILAILB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ILAILB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BWHPRP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BWHPRP+SegoeUI" w:eastAsiaTheme="minorEastAsia" w:cs="BWHPRP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BWHPRP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ILAILB+AdobeHeitiStd-Regular-Identity-H" w:hAnsi="ILAILB+AdobeHeitiStd-Regular-Identity-H" w:eastAsiaTheme="minorEastAsia" w:cs="ILAILB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065" w:after="219" w:line="276" w:lineRule="exact"/>
        <w:ind w:left="216" w:right="0" w:firstLine="0"/>
        <w:jc w:val="left"/>
        <w:rPr>
          <w:rFonts w:ascii="WPWSOS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WPWSOS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WPWSOS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WPWSOS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4246"/>
        <w:gridCol w:w="20"/>
        <w:gridCol w:w="3945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32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PWSOS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424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BWHPRP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ILAILB+AdobeHeitiStd-Regular-Identity-H" w:hAnsi="ILAILB+AdobeHeitiStd-Regular-Identity-H" w:eastAsiaTheme="minorEastAsia" w:cs="ILAILB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ILAILB+AdobeHeitiStd-Regular-Identity-H" w:hAnsi="Calibri" w:eastAsiaTheme="minorEastAsia" w:cstheme="minorBidi"/>
                <w:color w:val="3E3A39"/>
                <w:spacing w:val="1051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WHPR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Enalaprilat</w:t>
            </w:r>
            <w:r>
              <w:rPr>
                <w:rFonts w:ascii="BWHPR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WHPR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dihydrate</w:t>
            </w:r>
            <w:r>
              <w:rPr>
                <w:rFonts w:ascii="BWHPR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WHPR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(MK-422)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WHPRP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39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ILAILB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ILAILB+AdobeHeitiStd-Regular-Identity-H" w:hAnsi="ILAILB+AdobeHeitiStd-Regular-Identity-H" w:eastAsiaTheme="minorEastAsia" w:cs="ILAILB+AdobeHeitiStd-Regular-Identity-H"/>
                <w:color w:val="3E3A39"/>
                <w:sz w:val="17"/>
                <w:szCs w:val="22"/>
                <w:lang w:val="en-US" w:eastAsia="en-US" w:bidi="ar-SA"/>
              </w:rPr>
              <w:t>⾎管紧张素转化酶</w:t>
            </w:r>
            <w:r>
              <w:rPr>
                <w:rFonts w:ascii="ILAILB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AILB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</w:t>
            </w:r>
            <w:r>
              <w:rPr>
                <w:rFonts w:ascii="BWHPR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ACE)</w:t>
            </w:r>
            <w:r>
              <w:rPr>
                <w:rFonts w:ascii="BWHPR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AILB+AdobeHeitiStd-Regular-Identity-H" w:hAnsi="ILAILB+AdobeHeitiStd-Regular-Identity-H" w:eastAsiaTheme="minorEastAsia" w:cs="ILAILB+AdobeHeitiStd-Regular-Identity-H"/>
                <w:color w:val="3E3A39"/>
                <w:sz w:val="17"/>
                <w:szCs w:val="22"/>
                <w:lang w:val="en-US" w:eastAsia="en-US" w:bidi="ar-SA"/>
              </w:rPr>
              <w:t>抑制剂，</w:t>
            </w:r>
            <w:r>
              <w:rPr>
                <w:rFonts w:ascii="BWHPR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IC</w:t>
            </w:r>
            <w:r>
              <w:rPr>
                <w:rFonts w:ascii="BWHPRP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>50</w:t>
            </w:r>
            <w:r>
              <w:rPr>
                <w:rFonts w:ascii="BWHPRP+SegoeUI" w:hAnsi="Calibri" w:eastAsiaTheme="minorEastAsia" w:cstheme="minorBidi"/>
                <w:color w:val="3E3A39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AILB+AdobeHeitiStd-Regular-Identity-H" w:hAnsi="ILAILB+AdobeHeitiStd-Regular-Identity-H" w:eastAsiaTheme="minorEastAsia" w:cs="ILAILB+AdobeHeitiStd-Regular-Identity-H"/>
                <w:color w:val="3E3A39"/>
                <w:sz w:val="17"/>
                <w:szCs w:val="22"/>
                <w:lang w:val="en-US" w:eastAsia="en-US" w:bidi="ar-SA"/>
              </w:rPr>
              <w:t>为</w:t>
            </w:r>
            <w:r>
              <w:rPr>
                <w:rFonts w:ascii="ILAILB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AILB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1.94</w:t>
            </w:r>
            <w:r>
              <w:rPr>
                <w:rFonts w:ascii="ILAILB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WHPRP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nM</w:t>
            </w:r>
            <w:r>
              <w:rPr>
                <w:rFonts w:ascii="ILAILB+AdobeHeitiStd-Regular-Identity-H" w:hAnsi="ILAILB+AdobeHeitiStd-Regular-Identity-H" w:eastAsiaTheme="minorEastAsia" w:cs="ILAILB+AdobeHeitiStd-Regular-Identity-H"/>
                <w:color w:val="3E3A39"/>
                <w:sz w:val="17"/>
                <w:szCs w:val="22"/>
                <w:lang w:val="en-US" w:eastAsia="en-US" w:bidi="ar-SA"/>
              </w:rPr>
              <w:t>。</w:t>
            </w:r>
          </w:p>
        </w:tc>
      </w:tr>
    </w:tbl>
    <w:p>
      <w:pPr>
        <w:spacing w:before="312" w:after="0" w:line="236" w:lineRule="exact"/>
        <w:ind w:left="250" w:right="0" w:firstLine="0"/>
        <w:jc w:val="left"/>
        <w:rPr>
          <w:rFonts w:ascii="BWHPR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WPWSOS+SegoeUI-SemiBold" w:hAnsi="WPWSOS+SegoeUI-SemiBold" w:eastAsiaTheme="minorEastAsia" w:cs="WPWSOS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WPWSO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PWSO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WPWSO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PWSO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WPWSOS+SegoeUI-SemiBold" w:hAnsi="Calibri" w:eastAsiaTheme="minorEastAsia" w:cstheme="minorBidi"/>
          <w:b/>
          <w:color w:val="3E3A39"/>
          <w:spacing w:val="705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ACE</w:t>
      </w:r>
      <w:r>
        <w:rPr>
          <w:rFonts w:ascii="BWHPRP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7" w:lineRule="exact"/>
        <w:ind w:left="250" w:right="0" w:firstLine="0"/>
        <w:jc w:val="left"/>
        <w:rPr>
          <w:rFonts w:ascii="BWHPR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LAILB+AdobeHeitiStd-Regular-Identity-H" w:hAnsi="ILAILB+AdobeHeitiStd-Regular-Identity-H" w:eastAsiaTheme="minorEastAsia" w:cs="ILAILB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ILAILB+AdobeHeitiStd-Regular-Identity-H" w:hAnsi="Calibri" w:eastAsiaTheme="minorEastAsia" w:cstheme="minorBidi"/>
          <w:color w:val="3E3A39"/>
          <w:spacing w:val="1051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Enalaprilat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has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high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affinity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endothelial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ACE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BWHPRP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BWHPRP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1.94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vitro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binding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displacing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</w:p>
    <w:p>
      <w:pPr>
        <w:spacing w:before="35" w:after="0" w:line="236" w:lineRule="exact"/>
        <w:ind w:left="2018" w:right="0" w:firstLine="0"/>
        <w:jc w:val="left"/>
        <w:rPr>
          <w:rFonts w:ascii="BWHPR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saturating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[</w:t>
      </w:r>
      <w:r>
        <w:rPr>
          <w:rFonts w:ascii="BWHPRP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125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I]351A,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radiolabeled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lisinopril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analogue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ACE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binding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sites,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shows</w:t>
      </w:r>
    </w:p>
    <w:p>
      <w:pPr>
        <w:spacing w:before="35" w:after="0" w:line="236" w:lineRule="exact"/>
        <w:ind w:left="2018" w:right="0" w:firstLine="0"/>
        <w:jc w:val="left"/>
        <w:rPr>
          <w:rFonts w:ascii="BWHPR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bradykinin/angiotensin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selectivity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ratio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1.00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calculated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double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displacement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experiments</w:t>
      </w:r>
      <w:r>
        <w:rPr>
          <w:rFonts w:ascii="BWHPRP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Enalaprilat</w:t>
      </w:r>
    </w:p>
    <w:p>
      <w:pPr>
        <w:spacing w:before="35" w:after="0" w:line="236" w:lineRule="exact"/>
        <w:ind w:left="2018" w:right="0" w:firstLine="0"/>
        <w:jc w:val="left"/>
        <w:rPr>
          <w:rFonts w:ascii="BWHPR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attenuates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IGF-I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induced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neonatal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cardiac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fibroblast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(30%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reduction)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concentration-dependent</w:t>
      </w:r>
    </w:p>
    <w:p>
      <w:pPr>
        <w:spacing w:before="35" w:after="0" w:line="236" w:lineRule="exact"/>
        <w:ind w:left="2018" w:right="0" w:firstLine="0"/>
        <w:jc w:val="left"/>
        <w:rPr>
          <w:rFonts w:ascii="BWHPR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fashion,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BWHPRP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BWHPRP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90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BWHPRP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BWHPR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LAILB+AdobeHeitiStd-Regular-Identity-H" w:hAnsi="ILAILB+AdobeHeitiStd-Regular-Identity-H" w:eastAsiaTheme="minorEastAsia" w:cs="ILAILB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ILAILB+AdobeHeitiStd-Regular-Identity-H" w:hAnsi="Calibri" w:eastAsiaTheme="minorEastAsia" w:cstheme="minorBidi"/>
          <w:color w:val="3E3A39"/>
          <w:spacing w:val="1051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Enalaprilat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induces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reduction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MAP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70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minutes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compared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placebo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</w:p>
    <w:p>
      <w:pPr>
        <w:spacing w:before="0" w:after="0" w:line="266" w:lineRule="exact"/>
        <w:ind w:left="2018" w:right="1121" w:firstLine="0"/>
        <w:jc w:val="left"/>
        <w:rPr>
          <w:rFonts w:ascii="BWHPRP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during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haemorrhagic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shock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rats,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results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50%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reduction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CO,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general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tendency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EB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extravasation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which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kidney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lungs,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ileal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EB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extravasation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(53%)</w:t>
      </w:r>
      <w:r>
        <w:rPr>
          <w:rFonts w:ascii="BWHPRP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BWHPRP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680" w:after="0" w:line="276" w:lineRule="exact"/>
        <w:ind w:left="31" w:right="0" w:firstLine="0"/>
        <w:jc w:val="left"/>
        <w:rPr>
          <w:rFonts w:ascii="WPWSOS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WPWSOS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17" w:after="0" w:line="255" w:lineRule="exact"/>
        <w:ind w:left="0" w:right="0" w:firstLine="0"/>
        <w:jc w:val="left"/>
        <w:rPr>
          <w:rFonts w:ascii="BWHPRP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Ceconi,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C.,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al.,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Angiotensin-converting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enzyme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(ACE)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inhibitors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have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different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selectivity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for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bradykinin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binding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sites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human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somatic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ACE.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Eur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BWHPRP+SegoeUI" w:eastAsiaTheme="minorEastAsia" w:cs="BWHPRP+SegoeUI"/>
          <w:color w:val="3E3A39"/>
          <w:sz w:val="16"/>
          <w:szCs w:val="22"/>
          <w:lang w:val="en-US" w:eastAsia="en-US" w:bidi="ar-SA"/>
        </w:rPr>
        <w:t>J</w:t>
      </w:r>
      <w:r>
        <w:rPr>
          <w:rFonts w:ascii="BWHPRP+SegoeUI" w:hAnsi="BWHPRP+SegoeUI" w:eastAsiaTheme="minorEastAsia" w:cs="BWHPRP+SegoeUI"/>
          <w:color w:val="3E3A39"/>
          <w:sz w:val="16"/>
          <w:szCs w:val="22"/>
          <w:lang w:val="en-US" w:eastAsia="en-US" w:bidi="ar-SA"/>
        </w:rPr>
        <w:cr/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Pharmacol,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2007.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577(1-3):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p.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1-6.</w:t>
      </w:r>
    </w:p>
    <w:p>
      <w:pPr>
        <w:spacing w:before="202" w:after="0" w:line="223" w:lineRule="exact"/>
        <w:ind w:left="0" w:right="0" w:firstLine="0"/>
        <w:jc w:val="left"/>
        <w:rPr>
          <w:rFonts w:ascii="BWHPRP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van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Eickels,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M.,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H.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Vetter,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C.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Grohe,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Angiotensin-converting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enzyme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(ACE)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inhibition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attenuates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insulin-like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growth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factor-I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(IGF-I)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induced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cardiac</w:t>
      </w:r>
    </w:p>
    <w:p>
      <w:pPr>
        <w:spacing w:before="32" w:after="0" w:line="223" w:lineRule="exact"/>
        <w:ind w:left="0" w:right="0" w:firstLine="0"/>
        <w:jc w:val="left"/>
        <w:rPr>
          <w:rFonts w:ascii="BWHPRP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fibroblast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proliferation.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Pharmacol,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2000.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131(8):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p.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1592-6.</w:t>
      </w:r>
    </w:p>
    <w:p>
      <w:pPr>
        <w:spacing w:before="202" w:after="0" w:line="223" w:lineRule="exact"/>
        <w:ind w:left="0" w:right="0" w:firstLine="0"/>
        <w:jc w:val="left"/>
        <w:rPr>
          <w:rFonts w:ascii="BWHPRP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Schumacher,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J.,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al.,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Effects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candesartan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enalaprilat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organ-specific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microvascular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permeability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during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haemorrhagic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shock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rats.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</w:p>
    <w:p>
      <w:pPr>
        <w:spacing w:before="32" w:after="0" w:line="223" w:lineRule="exact"/>
        <w:ind w:left="0" w:right="0" w:firstLine="0"/>
        <w:jc w:val="left"/>
        <w:rPr>
          <w:rFonts w:ascii="BWHPRP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Anaesth,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2006.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96(4):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p.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WHPRP+SegoeUI" w:hAnsi="Calibri" w:eastAsiaTheme="minorEastAsia" w:cstheme="minorBidi"/>
          <w:color w:val="3E3A39"/>
          <w:sz w:val="16"/>
          <w:szCs w:val="22"/>
          <w:lang w:val="en-US" w:eastAsia="en-US" w:bidi="ar-SA"/>
        </w:rPr>
        <w:t>437-43.</w:t>
      </w:r>
    </w:p>
    <w:p>
      <w:pPr>
        <w:spacing w:before="428" w:after="0" w:line="257" w:lineRule="exact"/>
        <w:ind w:left="0" w:right="0" w:firstLine="0"/>
        <w:jc w:val="left"/>
        <w:rPr>
          <w:rFonts w:ascii="BWHPRP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BWHPRP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3636" w:after="0" w:line="236" w:lineRule="exact"/>
        <w:ind w:left="1918" w:right="0" w:firstLine="0"/>
        <w:jc w:val="left"/>
        <w:rPr>
          <w:rFonts w:ascii="HVFROV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VFRO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NTRRA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NTRRAJ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NTRRAJ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686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NTRR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NTRRAJ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NTRRAJ+SegoeUI" w:hAnsi="NTRRAJ+SegoeUI" w:eastAsiaTheme="minorEastAsia" w:cs="NTRRAJ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NTRRAJ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JLPATC+AdobeHeitiStd-Regular-Identity-H" w:hAnsi="JLPATC+AdobeHeitiStd-Regular-Identity-H" w:eastAsiaTheme="minorEastAsia" w:cs="JLPATC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2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2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780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LDTUUC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KGSIRD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JFOBQF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ILAILB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WHPRP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WPWSOS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HVFROV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NTRRAJ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JLPATC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