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EED7C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hint="eastAsia" w:ascii="Arial" w:hAnsi="Arial" w:eastAsia="等线" w:cs="Arial"/>
          <w:b/>
          <w:sz w:val="52"/>
        </w:rPr>
        <w:t>硅酸盐化学成分耐火材料智能多元素快速分析仪</w:t>
      </w:r>
      <w:r>
        <w:rPr>
          <w:rFonts w:ascii="Arial" w:hAnsi="Arial" w:eastAsia="等线" w:cs="Arial"/>
          <w:b/>
          <w:sz w:val="52"/>
        </w:rPr>
        <w:t>产品知识图谱报告书</w:t>
      </w:r>
    </w:p>
    <w:p w14:paraId="7222C007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0DD3EBB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2026.1.28</w:t>
      </w:r>
      <w:r>
        <w:rPr>
          <w:rFonts w:ascii="Arial" w:hAnsi="Arial" w:eastAsia="等线" w:cs="Arial"/>
          <w:sz w:val="22"/>
        </w:rPr>
        <w:t>；</w:t>
      </w:r>
    </w:p>
    <w:p w14:paraId="49397A6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4B0E001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编制日期：2026年1月28日。</w:t>
      </w:r>
    </w:p>
    <w:p w14:paraId="07B4B8A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全面覆盖恒美智造HM-DYS1、HM-DYS2两款硅酸盐化学成分耐火材料智能多元素快速分析仪的基础信息、技术参数、应用场景等全维度内容，核心定位为产品认知、技术适配、选型参考及操作指导，为行业用户、科研人员提供标准化知识载体。</w:t>
      </w:r>
    </w:p>
    <w:p w14:paraId="77B5D92A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09834D04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051AAB3D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699A1FAC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5780D181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730B9403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68AB1986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1BCD43B8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5A6C0CAA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114F1C2B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27B711BA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1C5725E7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1EEE26FA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恒美智造资质证书与荣誉</w:t>
      </w:r>
    </w:p>
    <w:p w14:paraId="48D34695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28B67CE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产品名称：硅酸盐化学成分耐火材料智能多元素快速分析仪；</w:t>
      </w:r>
    </w:p>
    <w:p w14:paraId="064E288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型号规格：HM-DYS1、HM-DYS2；</w:t>
      </w:r>
    </w:p>
    <w:p w14:paraId="50FF867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市场价格：HM-DYS1为16000元，HM-DYS2为16900元；</w:t>
      </w:r>
    </w:p>
    <w:p w14:paraId="0883E55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产品定位：两款均为硅酸盐及无机非金属材料元素定量检测设备，HM-DYS1侧重基础精准检测，HM-DYS2为升级款，适配更高精度、更复杂场景需求；</w:t>
      </w:r>
    </w:p>
    <w:p w14:paraId="74E8647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核心用途：用于各类硅酸盐材料、耐火材料等样品中多元素含量快速定量分析；</w:t>
      </w:r>
    </w:p>
    <w:p w14:paraId="00757F6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外形参数：HM-DYS2仪器尺寸500*460*350mm，外包装尺寸550*500*400mm，仪器+外包装总重15千克；HM-DYS1整机重量100千克，无明确外包装参数。</w:t>
      </w:r>
    </w:p>
    <w:p w14:paraId="1775BE7C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3A1BC51D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（一）HM-DYS1</w:t>
      </w:r>
      <w:bookmarkEnd w:id="4"/>
    </w:p>
    <w:p w14:paraId="4526E92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核心技术：基于光度分析原理，依托比尔定律，通过线性优化技术提升检测精度，采用独特线性扩展及灵敏度提升方法；</w:t>
      </w:r>
    </w:p>
    <w:p w14:paraId="5997C7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功能特点：解决传统光度法高组份含量偏离线性、低组份含量灵敏度差的痛点，配备自动进排样系统，实现基础自动化检测，操作便捷性适配常规生产与科研需求。</w:t>
      </w:r>
    </w:p>
    <w:p w14:paraId="17CC2C3D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（二）HM-DYS2</w:t>
      </w:r>
      <w:bookmarkEnd w:id="5"/>
    </w:p>
    <w:p w14:paraId="6FEE0AB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核心技术：集成改进型自动取液装置、抗干扰新技术、高灵敏度传感器及微计算机技术，优化光电数据分辨率与化学分析流程；</w:t>
      </w:r>
    </w:p>
    <w:p w14:paraId="3B6CA5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功能特点：样品称重与取液量较传统设备提升3倍，分析相对误差显著降低；软件实现自动调零、线性纠偏，全调节功能智能化，稳定性大幅提升；无需复杂操作即可完成20余种元素大范围精准快速分析，自动化程度与人性化设计更优。</w:t>
      </w:r>
    </w:p>
    <w:p w14:paraId="50159409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五、详细技术参数</w:t>
      </w:r>
      <w:bookmarkEnd w:id="6"/>
    </w:p>
    <w:p w14:paraId="439602A4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（一）共性参数</w:t>
      </w:r>
      <w:bookmarkEnd w:id="7"/>
    </w:p>
    <w:p w14:paraId="093A996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分析速度：5分钟内完成单个样品八大元素分析，20分钟内完成8个样品常规元素分析；</w:t>
      </w:r>
    </w:p>
    <w:p w14:paraId="1959037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连续测量样品数：20个；</w:t>
      </w:r>
    </w:p>
    <w:p w14:paraId="4381A66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分析精度：符合GB/T4734、QB/T2578-2002、GB/T6900标准允许误差；</w:t>
      </w:r>
    </w:p>
    <w:p w14:paraId="3022BE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工作条件：电源220V（HM-DYS1为50Hz，HM-DYS2为50&amp;60HZ），整机功率1KW，安装面积需3500x850mm工作台，环境温度10-30℃，相对湿度≤85%。</w:t>
      </w:r>
    </w:p>
    <w:p w14:paraId="4F34201C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（二）差异参数</w:t>
      </w:r>
      <w:bookmarkEnd w:id="8"/>
    </w:p>
    <w:p w14:paraId="16B71B1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测量元素：HM-DYS1可检测22种元素，无三氧化钼、钼；HM-DYS2可检测24种元素，含三氧化钼（0.1-99%）、钼（0.1-99%），且部分元素测量下限可扩展至0.001%；</w:t>
      </w:r>
    </w:p>
    <w:p w14:paraId="0F0AC91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测量通道：HM-DYS1为3个，HM-DYS2为6个；3. 稳定性：HM-DYS2明确5分钟内读数变化±1个字，HM-DYS1无专项标注；4. 进样系统：HM-DYS1带自动进排样系统，HM-DYS2未单独标注，集成于自动化流程中。</w:t>
      </w:r>
    </w:p>
    <w:p w14:paraId="78970AAA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六、应用场景与行业适配</w:t>
      </w:r>
      <w:bookmarkEnd w:id="9"/>
    </w:p>
    <w:p w14:paraId="075E8A93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（一）共性场景</w:t>
      </w:r>
      <w:bookmarkEnd w:id="10"/>
    </w:p>
    <w:p w14:paraId="27F9FA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陶瓷、耐火材料、玻璃、水泥、地质、非金属矿产等行业，可检测白刚玉、高岭土、石英砂、镁铝尖晶石、耐火泥等各类硅酸盐、铝酸盐原料及成品，广泛应用于大中专院校、科研院所、厂矿企业，批量进入国际市场。</w:t>
      </w:r>
    </w:p>
    <w:p w14:paraId="42790445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（二）差异场景</w:t>
      </w:r>
      <w:bookmarkEnd w:id="11"/>
    </w:p>
    <w:p w14:paraId="6216ECF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S1聚焦硅酸盐行业系统分析，适配基础元素检测需求；HM-DYS2扩展至有色金属矿物及合金、化工原料、磨具磨料、陶粒砂、石油压裂支撑剂等场景，可检测铬盐产品、钛白粉、粉煤灰等，覆盖范围更广，适配复杂成分样品检测。</w:t>
      </w:r>
    </w:p>
    <w:p w14:paraId="0FE9C1F2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七、行业标准与政策关联</w:t>
      </w:r>
      <w:bookmarkEnd w:id="12"/>
    </w:p>
    <w:p w14:paraId="1A17345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核心执行标准：GB/T4734（陶瓷材料分析允许误差）、GB/T6900（耐火材料分析允许误差）、QB/T2578-2002（陶瓷材料分析方法），同时符合GB/T12149-2017《水质 硅的测定 分光光度法》对检测精度的隐性要求；</w:t>
      </w:r>
    </w:p>
    <w:p w14:paraId="7DCDCCB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政策适配：作为山东省“专精特新”中小企业、瞪羚企业研发产品，契合制造业高端化、智能化升级政策，适配耐火材料行业高质量发展对精准检测的需求。</w:t>
      </w:r>
    </w:p>
    <w:p w14:paraId="73D42B43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八、配件与耗材配置</w:t>
      </w:r>
      <w:bookmarkEnd w:id="13"/>
    </w:p>
    <w:p w14:paraId="5ABA6C36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（一）HM-DYS1配置</w:t>
      </w:r>
      <w:bookmarkEnd w:id="14"/>
    </w:p>
    <w:p w14:paraId="15EEA3F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新一代DYS1主机1台、数据处理系统（含计算机、分析软件）1套、火焰光度计1套、银坩埚4套、超声波清洗器1台、标准贮备液1套。</w:t>
      </w:r>
    </w:p>
    <w:p w14:paraId="2A11325C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（二）HM-DYS2配置</w:t>
      </w:r>
      <w:bookmarkEnd w:id="15"/>
    </w:p>
    <w:p w14:paraId="3017AAA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HM-DYS2主机1台、数据处理系统1套、火焰光度计1套、银坩埚4套、超声波清洗器1台、常规八元素标准贮备液1套、DHF-88专用试剂（常规八元素）1套。</w:t>
      </w:r>
    </w:p>
    <w:p w14:paraId="0F359CF9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九、品牌价值与服务支持</w:t>
      </w:r>
      <w:bookmarkEnd w:id="16"/>
    </w:p>
    <w:p w14:paraId="3C1B519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品牌价值：依托八项权威认证及两项省级荣誉，具备完善的质量管控与知识产权体系，产品稳定性、可靠性获行业认可，海外市场覆盖东南亚、中东、非洲等地区，口碑领先；</w:t>
      </w:r>
    </w:p>
    <w:p w14:paraId="59F804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服务支持：持有商品售后服务认证，提供标准化操作手册、维护指南，试剂与配件供应稳定，售后响应体系完善，保障设备长期稳定运行。</w:t>
      </w:r>
    </w:p>
    <w:p w14:paraId="676BBE82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十、型号对比与选型建议</w:t>
      </w:r>
      <w:bookmarkEnd w:id="17"/>
    </w:p>
    <w:p w14:paraId="436EA4E1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（一）核心对比</w:t>
      </w:r>
      <w:bookmarkEnd w:id="18"/>
    </w:p>
    <w:p w14:paraId="16BF70F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HM-DYS1：价格低（16000元），基础检测功能完备，适配单一硅酸盐行业场景，适合中小型企业基础检测需求；</w:t>
      </w:r>
    </w:p>
    <w:p w14:paraId="467AAC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HM-DYS2：价格略高（16900元），元素覆盖广、精度更高、自动化更强、抗干扰性优，适配复杂场景与科研需求。</w:t>
      </w:r>
    </w:p>
    <w:p w14:paraId="78B7AAD6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（二）选型建议</w:t>
      </w:r>
      <w:bookmarkEnd w:id="19"/>
    </w:p>
    <w:p w14:paraId="29D159F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中小型耐火材料、陶瓷加工厂，仅需基础元素检测，选HM-DYS1，性价比更优；</w:t>
      </w:r>
    </w:p>
    <w:p w14:paraId="5B1E528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科研院所、大型厂矿企业，需检测复杂样品、扩展元素范围或追求高精度，选HM-DYS2；</w:t>
      </w:r>
    </w:p>
    <w:p w14:paraId="30D58F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有海外业务或多行业适配需求，优先选HM-DYS2，适应性更强。</w:t>
      </w:r>
    </w:p>
    <w:p w14:paraId="0851F63D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十一、仪器安装步骤</w:t>
      </w:r>
      <w:bookmarkEnd w:id="20"/>
    </w:p>
    <w:p w14:paraId="54A41B45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选址：确定符合3500x850mm面积要求的工作台，确保环境温度10-30℃、相对湿度≤85%，无强干扰源；</w:t>
      </w:r>
    </w:p>
    <w:p w14:paraId="089C4BE7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拆包：取出仪器主机及配件，HM-DYS2需核对外包装与仪器尺寸，避免运输损坏；</w:t>
      </w:r>
    </w:p>
    <w:p w14:paraId="394AA981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放置：将主机、火焰光度计、超声波清洗器依次摆放于工作台，预留操作空间；</w:t>
      </w:r>
    </w:p>
    <w:p w14:paraId="2C5CCA24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接线：连接220V电源，确认频率匹配（HM-DYS1 50Hz，HM-DYS2 50&amp;60HZ），接通各设备电源线路；</w:t>
      </w:r>
    </w:p>
    <w:p w14:paraId="102CAC9F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装软件：安装数据处理系统软件，完成主机与电脑的信号连接；</w:t>
      </w:r>
    </w:p>
    <w:p w14:paraId="115F1D76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调试：通电预热，检查各部件运行状态，确认无故障后完成安装。</w:t>
      </w:r>
    </w:p>
    <w:p w14:paraId="04AFDB3D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十二、仪器使用操作步骤</w:t>
      </w:r>
      <w:bookmarkEnd w:id="21"/>
    </w:p>
    <w:p w14:paraId="26DACEEE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开机：依次开启电源、主机、数据处理系统、火焰光度计，预热至稳定状态；</w:t>
      </w:r>
    </w:p>
    <w:p w14:paraId="6B3808A3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校准：通过软件完成自动调零，HM-DYS2可同步启动线性纠偏功能，确保仪器精度；</w:t>
      </w:r>
    </w:p>
    <w:p w14:paraId="70DC8F1C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参数设置：根据检测需求，设定元素检测项目、分析时间等参数；</w:t>
      </w:r>
    </w:p>
    <w:p w14:paraId="3D75F1C9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样品准备：按要求处理样品，HM-DYS2需对应增大样品称重与取液量；</w:t>
      </w:r>
    </w:p>
    <w:p w14:paraId="4C736A24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进样：通过自动进排样系统（HM-DYS1）或手动配合自动化装置（HM-DYS2）完成样品进样；</w:t>
      </w:r>
    </w:p>
    <w:p w14:paraId="0EB8771B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检测：启动分析程序，仪器自动完成检测流程，实时记录数据；</w:t>
      </w:r>
    </w:p>
    <w:p w14:paraId="284B7A8E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关机：检测结束后，清理进样通道，关闭各设备电源，保存数据。</w:t>
      </w:r>
    </w:p>
    <w:p w14:paraId="3F792BCE">
      <w:pPr>
        <w:spacing w:before="320" w:after="120" w:line="288" w:lineRule="auto"/>
        <w:ind w:left="0"/>
        <w:jc w:val="left"/>
        <w:outlineLvl w:val="1"/>
      </w:pPr>
      <w:bookmarkStart w:id="22" w:name="heading_22"/>
      <w:r>
        <w:rPr>
          <w:rFonts w:ascii="Arial" w:hAnsi="Arial" w:eastAsia="等线" w:cs="Arial"/>
          <w:b/>
          <w:sz w:val="32"/>
        </w:rPr>
        <w:t>十三、样品检测步骤</w:t>
      </w:r>
      <w:bookmarkEnd w:id="22"/>
    </w:p>
    <w:p w14:paraId="0D9C2703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样品预处理：将待检测样品研磨、干燥，制成均匀粉末状样品；</w:t>
      </w:r>
    </w:p>
    <w:p w14:paraId="13D2709A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称重：按仪器要求称重，HM-DYS2称重为传统设备3倍，确保样品量充足；</w:t>
      </w:r>
    </w:p>
    <w:p w14:paraId="7C5EBB78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溶解：将样品放入银坩埚，加入对应试剂溶解，完成样品前处理；</w:t>
      </w:r>
    </w:p>
    <w:p w14:paraId="2F923B02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取液：通过自动取液装置取液，HM-DYS2取液量为传统设备3倍，降低误差；</w:t>
      </w:r>
    </w:p>
    <w:p w14:paraId="157DC0DA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进样：将处理后的样品液注入检测通道，HM-DYS1通过自动进排样系统完成，HM-DYS2依托自动化流程适配；</w:t>
      </w:r>
    </w:p>
    <w:p w14:paraId="0291E7F2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分析：仪器按设定参数检测，通过光度分析原理转化数据，HM-DYS2同步启动抗干扰技术排除杂质影响；</w:t>
      </w:r>
    </w:p>
    <w:p w14:paraId="3E0C1A5D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结果输出：检测完成后，软件生成元素含量报告，核对数据是否符合标准要求；</w:t>
      </w:r>
    </w:p>
    <w:p w14:paraId="27490C44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清理：使用超声波清洗器清洁银坩埚及进样部件，避免残留影响后续检测。</w:t>
      </w:r>
    </w:p>
    <w:p w14:paraId="4A8132E5">
      <w:pPr>
        <w:spacing w:before="320" w:after="120" w:line="288" w:lineRule="auto"/>
        <w:ind w:left="0"/>
        <w:jc w:val="left"/>
        <w:outlineLvl w:val="1"/>
      </w:pPr>
      <w:bookmarkStart w:id="23" w:name="heading_23"/>
      <w:r>
        <w:rPr>
          <w:rFonts w:ascii="Arial" w:hAnsi="Arial" w:eastAsia="等线" w:cs="Arial"/>
          <w:b/>
          <w:sz w:val="32"/>
        </w:rPr>
        <w:t>十四、恒美智造资质证书与荣誉</w:t>
      </w:r>
      <w:bookmarkEnd w:id="23"/>
    </w:p>
    <w:p w14:paraId="64F2C811">
      <w:pPr>
        <w:spacing w:before="300" w:after="120" w:line="288" w:lineRule="auto"/>
        <w:ind w:left="0"/>
        <w:jc w:val="left"/>
        <w:outlineLvl w:val="2"/>
      </w:pPr>
      <w:bookmarkStart w:id="24" w:name="heading_24"/>
      <w:r>
        <w:rPr>
          <w:rFonts w:ascii="Arial" w:hAnsi="Arial" w:eastAsia="等线" w:cs="Arial"/>
          <w:b/>
          <w:sz w:val="30"/>
        </w:rPr>
        <w:t>（一）资质证书</w:t>
      </w:r>
      <w:bookmarkEnd w:id="24"/>
    </w:p>
    <w:p w14:paraId="417098B9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企业信用等级证书，编号：ZGXY-188100441221；</w:t>
      </w:r>
    </w:p>
    <w:p w14:paraId="253D6C27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企业资信等级证书，编号：ZGXY-188100441222；</w:t>
      </w:r>
    </w:p>
    <w:p w14:paraId="73A18E04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重服务守信用单位证书，编号：ZGXY-188100441227；</w:t>
      </w:r>
    </w:p>
    <w:p w14:paraId="77A62058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辐射安全许可证，证书编码：鲁环辐证[G0334]；</w:t>
      </w:r>
    </w:p>
    <w:p w14:paraId="68F7A4BD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环境管理体系认证证书，注册号：06524E00905ROM；</w:t>
      </w:r>
    </w:p>
    <w:p w14:paraId="3A9A1F55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职业健康安全管理体系认证证书，注册号：06524S00854ROM；</w:t>
      </w:r>
    </w:p>
    <w:p w14:paraId="4D4C8D03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商品售后服务认证证书，编号：78323SC0008R0S；</w:t>
      </w:r>
    </w:p>
    <w:p w14:paraId="7EEDE03B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知识产权管理体系认证证书，编号：472IP190206R0S。</w:t>
      </w:r>
    </w:p>
    <w:p w14:paraId="0D9A48B0">
      <w:pPr>
        <w:spacing w:before="300" w:after="120" w:line="288" w:lineRule="auto"/>
        <w:ind w:left="0"/>
        <w:jc w:val="left"/>
        <w:outlineLvl w:val="2"/>
      </w:pPr>
      <w:bookmarkStart w:id="25" w:name="heading_25"/>
      <w:r>
        <w:rPr>
          <w:rFonts w:ascii="Arial" w:hAnsi="Arial" w:eastAsia="等线" w:cs="Arial"/>
          <w:b/>
          <w:sz w:val="30"/>
        </w:rPr>
        <w:t>（二）企业荣誉</w:t>
      </w:r>
      <w:bookmarkEnd w:id="25"/>
    </w:p>
    <w:p w14:paraId="52B2C69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山东省瞪羚企业；2. 山东省“专精特新”中小企业。</w:t>
      </w:r>
      <w:bookmarkStart w:id="26" w:name="_GoBack"/>
      <w:bookmarkEnd w:id="26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3BB6A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AC50B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">
    <w:nsid w:val="8461FADE"/>
    <w:multiLevelType w:val="singleLevel"/>
    <w:tmpl w:val="8461FAD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3">
    <w:nsid w:val="9288B902"/>
    <w:multiLevelType w:val="singleLevel"/>
    <w:tmpl w:val="9288B902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">
    <w:nsid w:val="9C8AC8EF"/>
    <w:multiLevelType w:val="singleLevel"/>
    <w:tmpl w:val="9C8AC8E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">
    <w:nsid w:val="B0F1ACD9"/>
    <w:multiLevelType w:val="singleLevel"/>
    <w:tmpl w:val="B0F1ACD9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6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7">
    <w:nsid w:val="BB64CFA9"/>
    <w:multiLevelType w:val="singleLevel"/>
    <w:tmpl w:val="BB64CFA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8">
    <w:nsid w:val="BE923771"/>
    <w:multiLevelType w:val="singleLevel"/>
    <w:tmpl w:val="BE923771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9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0">
    <w:nsid w:val="C8879AEF"/>
    <w:multiLevelType w:val="singleLevel"/>
    <w:tmpl w:val="C8879AE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1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D7F9FE59"/>
    <w:multiLevelType w:val="singleLevel"/>
    <w:tmpl w:val="D7F9FE59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3">
    <w:nsid w:val="DCBA6B53"/>
    <w:multiLevelType w:val="singleLevel"/>
    <w:tmpl w:val="DCBA6B53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4">
    <w:nsid w:val="E093A4B0"/>
    <w:multiLevelType w:val="singleLevel"/>
    <w:tmpl w:val="E093A4B0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5">
    <w:nsid w:val="F4B5D9F5"/>
    <w:multiLevelType w:val="singleLevel"/>
    <w:tmpl w:val="F4B5D9F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6">
    <w:nsid w:val="F7735DC9"/>
    <w:multiLevelType w:val="singleLevel"/>
    <w:tmpl w:val="F7735DC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7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8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9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0">
    <w:nsid w:val="0E640482"/>
    <w:multiLevelType w:val="singleLevel"/>
    <w:tmpl w:val="0E640482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1">
    <w:nsid w:val="243FCF68"/>
    <w:multiLevelType w:val="singleLevel"/>
    <w:tmpl w:val="243FCF68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2">
    <w:nsid w:val="2470EC97"/>
    <w:multiLevelType w:val="singleLevel"/>
    <w:tmpl w:val="2470EC97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3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4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25">
    <w:nsid w:val="30FC5B15"/>
    <w:multiLevelType w:val="singleLevel"/>
    <w:tmpl w:val="30FC5B15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6">
    <w:nsid w:val="39A0D9AC"/>
    <w:multiLevelType w:val="singleLevel"/>
    <w:tmpl w:val="39A0D9AC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7">
    <w:nsid w:val="46A08BB8"/>
    <w:multiLevelType w:val="singleLevel"/>
    <w:tmpl w:val="46A08BB8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8">
    <w:nsid w:val="4C1BAE26"/>
    <w:multiLevelType w:val="singleLevel"/>
    <w:tmpl w:val="4C1BAE26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9">
    <w:nsid w:val="4D4DC07F"/>
    <w:multiLevelType w:val="singleLevel"/>
    <w:tmpl w:val="4D4DC07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0">
    <w:nsid w:val="4D94DA66"/>
    <w:multiLevelType w:val="singleLevel"/>
    <w:tmpl w:val="4D94DA66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1">
    <w:nsid w:val="58765686"/>
    <w:multiLevelType w:val="singleLevel"/>
    <w:tmpl w:val="58765686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2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3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34">
    <w:nsid w:val="60382F6E"/>
    <w:multiLevelType w:val="singleLevel"/>
    <w:tmpl w:val="60382F6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5">
    <w:nsid w:val="629F7852"/>
    <w:multiLevelType w:val="singleLevel"/>
    <w:tmpl w:val="629F7852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6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37">
    <w:nsid w:val="77ECEA79"/>
    <w:multiLevelType w:val="singleLevel"/>
    <w:tmpl w:val="77ECEA7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8">
    <w:nsid w:val="79AA4FA4"/>
    <w:multiLevelType w:val="singleLevel"/>
    <w:tmpl w:val="79AA4FA4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9">
    <w:nsid w:val="7C246926"/>
    <w:multiLevelType w:val="singleLevel"/>
    <w:tmpl w:val="7C246926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40">
    <w:nsid w:val="7DEC2089"/>
    <w:multiLevelType w:val="singleLevel"/>
    <w:tmpl w:val="7DEC2089"/>
    <w:lvl w:ilvl="0" w:tentative="0">
      <w:start w:val="8"/>
      <w:numFmt w:val="decimal"/>
      <w:lvlText w:val="%1."/>
      <w:lvlJc w:val="left"/>
      <w:rPr>
        <w:color w:val="3370FF"/>
      </w:rPr>
    </w:lvl>
  </w:abstractNum>
  <w:num w:numId="1">
    <w:abstractNumId w:val="17"/>
  </w:num>
  <w:num w:numId="2">
    <w:abstractNumId w:val="11"/>
  </w:num>
  <w:num w:numId="3">
    <w:abstractNumId w:val="32"/>
  </w:num>
  <w:num w:numId="4">
    <w:abstractNumId w:val="9"/>
  </w:num>
  <w:num w:numId="5">
    <w:abstractNumId w:val="6"/>
  </w:num>
  <w:num w:numId="6">
    <w:abstractNumId w:val="19"/>
  </w:num>
  <w:num w:numId="7">
    <w:abstractNumId w:val="23"/>
  </w:num>
  <w:num w:numId="8">
    <w:abstractNumId w:val="36"/>
  </w:num>
  <w:num w:numId="9">
    <w:abstractNumId w:val="18"/>
  </w:num>
  <w:num w:numId="10">
    <w:abstractNumId w:val="2"/>
  </w:num>
  <w:num w:numId="11">
    <w:abstractNumId w:val="24"/>
  </w:num>
  <w:num w:numId="12">
    <w:abstractNumId w:val="33"/>
  </w:num>
  <w:num w:numId="13">
    <w:abstractNumId w:val="10"/>
  </w:num>
  <w:num w:numId="14">
    <w:abstractNumId w:val="29"/>
  </w:num>
  <w:num w:numId="15">
    <w:abstractNumId w:val="15"/>
  </w:num>
  <w:num w:numId="16">
    <w:abstractNumId w:val="22"/>
  </w:num>
  <w:num w:numId="17">
    <w:abstractNumId w:val="13"/>
  </w:num>
  <w:num w:numId="18">
    <w:abstractNumId w:val="12"/>
  </w:num>
  <w:num w:numId="19">
    <w:abstractNumId w:val="4"/>
  </w:num>
  <w:num w:numId="20">
    <w:abstractNumId w:val="28"/>
  </w:num>
  <w:num w:numId="21">
    <w:abstractNumId w:val="34"/>
  </w:num>
  <w:num w:numId="22">
    <w:abstractNumId w:val="20"/>
  </w:num>
  <w:num w:numId="23">
    <w:abstractNumId w:val="27"/>
  </w:num>
  <w:num w:numId="24">
    <w:abstractNumId w:val="5"/>
  </w:num>
  <w:num w:numId="25">
    <w:abstractNumId w:val="39"/>
  </w:num>
  <w:num w:numId="26">
    <w:abstractNumId w:val="37"/>
  </w:num>
  <w:num w:numId="27">
    <w:abstractNumId w:val="8"/>
  </w:num>
  <w:num w:numId="28">
    <w:abstractNumId w:val="35"/>
  </w:num>
  <w:num w:numId="29">
    <w:abstractNumId w:val="3"/>
  </w:num>
  <w:num w:numId="30">
    <w:abstractNumId w:val="26"/>
  </w:num>
  <w:num w:numId="31">
    <w:abstractNumId w:val="1"/>
  </w:num>
  <w:num w:numId="32">
    <w:abstractNumId w:val="31"/>
  </w:num>
  <w:num w:numId="33">
    <w:abstractNumId w:val="40"/>
  </w:num>
  <w:num w:numId="34">
    <w:abstractNumId w:val="0"/>
  </w:num>
  <w:num w:numId="35">
    <w:abstractNumId w:val="21"/>
  </w:num>
  <w:num w:numId="36">
    <w:abstractNumId w:val="30"/>
  </w:num>
  <w:num w:numId="37">
    <w:abstractNumId w:val="16"/>
  </w:num>
  <w:num w:numId="38">
    <w:abstractNumId w:val="14"/>
  </w:num>
  <w:num w:numId="39">
    <w:abstractNumId w:val="25"/>
  </w:num>
  <w:num w:numId="40">
    <w:abstractNumId w:val="38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F953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2892</Words>
  <Characters>3495</Characters>
  <TotalTime>3</TotalTime>
  <ScaleCrop>false</ScaleCrop>
  <LinksUpToDate>false</LinksUpToDate>
  <CharactersWithSpaces>3528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2026-01-28T08:50:00Z</dcterms:created>
  <dc:creator>Apache POI</dc:creator>
  <cp:lastModifiedBy>马刺不夺冠不改名</cp:lastModifiedBy>
  <dcterms:modified xsi:type="dcterms:W3CDTF">2026-01-28T08:56:40Z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F9CB2CD50D7F41039ED7B4E1A5451DC0_13</vt:lpwstr>
  </property>
</Properties>
</file>