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3201B">
      <w:pPr>
        <w:rPr>
          <w:rFonts w:hint="eastAsia" w:ascii="黑体" w:hAnsi="黑体" w:eastAsia="黑体" w:cs="黑体"/>
          <w:b/>
          <w:bCs/>
          <w:sz w:val="44"/>
          <w:szCs w:val="44"/>
        </w:rPr>
      </w:pPr>
      <w:r>
        <w:rPr>
          <w:rFonts w:hint="eastAsia" w:ascii="黑体" w:hAnsi="黑体" w:eastAsia="黑体" w:cs="黑体"/>
          <w:b/>
          <w:bCs/>
          <w:sz w:val="44"/>
          <w:szCs w:val="44"/>
        </w:rPr>
        <w:t>三坐标测量机实操手册：</w:t>
      </w:r>
    </w:p>
    <w:p w14:paraId="5BAFD30A">
      <w:pPr>
        <w:jc w:val="center"/>
        <w:rPr>
          <w:rFonts w:hint="eastAsia" w:ascii="黑体" w:hAnsi="黑体" w:eastAsia="黑体" w:cs="黑体"/>
          <w:b/>
          <w:bCs/>
          <w:sz w:val="32"/>
          <w:szCs w:val="32"/>
        </w:rPr>
      </w:pPr>
      <w:r>
        <w:rPr>
          <w:rFonts w:hint="eastAsia" w:ascii="黑体" w:hAnsi="黑体" w:eastAsia="黑体" w:cs="黑体"/>
          <w:b/>
          <w:bCs/>
          <w:sz w:val="32"/>
          <w:szCs w:val="32"/>
        </w:rPr>
        <w:t>Mizar Gold 设备，人形机器人零件检测避坑指南</w:t>
      </w:r>
    </w:p>
    <w:p w14:paraId="48CB34EA">
      <w:pPr>
        <w:rPr>
          <w:rFonts w:hint="eastAsia" w:ascii="黑体" w:hAnsi="黑体" w:eastAsia="黑体" w:cs="黑体"/>
        </w:rPr>
      </w:pPr>
    </w:p>
    <w:p w14:paraId="5FCB00EF">
      <w:pPr>
        <w:rPr>
          <w:rFonts w:hint="eastAsia" w:ascii="黑体" w:hAnsi="黑体" w:eastAsia="黑体" w:cs="黑体"/>
        </w:rPr>
      </w:pPr>
      <w:r>
        <w:rPr>
          <w:rFonts w:hint="eastAsia" w:ascii="黑体" w:hAnsi="黑体" w:eastAsia="黑体" w:cs="黑体"/>
        </w:rPr>
        <w:t>一、执行摘要</w:t>
      </w:r>
    </w:p>
    <w:p w14:paraId="76349B94">
      <w:pPr>
        <w:rPr>
          <w:rFonts w:hint="eastAsia" w:ascii="黑体" w:hAnsi="黑体" w:eastAsia="黑体" w:cs="黑体"/>
        </w:rPr>
      </w:pPr>
      <w:r>
        <w:rPr>
          <w:rFonts w:hint="eastAsia" w:ascii="黑体" w:hAnsi="黑体" w:eastAsia="黑体" w:cs="黑体"/>
        </w:rPr>
        <w:t>随着具身智能技术的飞速发展，人形机器人已成为全球科技竞争的新高地。其精密运动的实现高度依赖于以RV减速器为代表的核心动力总成系统。本</w:t>
      </w:r>
      <w:r>
        <w:rPr>
          <w:rFonts w:hint="eastAsia" w:ascii="黑体" w:hAnsi="黑体" w:eastAsia="黑体" w:cs="黑体"/>
          <w:lang w:val="en-US" w:eastAsia="zh-CN"/>
        </w:rPr>
        <w:t>文</w:t>
      </w:r>
      <w:r>
        <w:rPr>
          <w:rFonts w:hint="eastAsia" w:ascii="黑体" w:hAnsi="黑体" w:eastAsia="黑体" w:cs="黑体"/>
        </w:rPr>
        <w:t>深度解析了Mizar Gold高精度三坐标测量机如何通过高</w:t>
      </w:r>
      <w:bookmarkStart w:id="0" w:name="_GoBack"/>
      <w:bookmarkEnd w:id="0"/>
      <w:r>
        <w:rPr>
          <w:rFonts w:hint="eastAsia" w:ascii="黑体" w:hAnsi="黑体" w:eastAsia="黑体" w:cs="黑体"/>
        </w:rPr>
        <w:t>性能陶瓷结构、智能化扫描技术及PowerDMIS软件算法，攻克摆线轮复杂齿廓检测难题，助力工业制造实现精度与效率的双重突破。</w:t>
      </w:r>
    </w:p>
    <w:p w14:paraId="27BE557D">
      <w:pPr>
        <w:rPr>
          <w:rFonts w:hint="eastAsia" w:ascii="黑体" w:hAnsi="黑体" w:eastAsia="黑体" w:cs="黑体"/>
        </w:rPr>
      </w:pPr>
    </w:p>
    <w:p w14:paraId="2F736721">
      <w:pPr>
        <w:rPr>
          <w:rFonts w:hint="eastAsia" w:ascii="黑体" w:hAnsi="黑体" w:eastAsia="黑体" w:cs="黑体"/>
        </w:rPr>
      </w:pPr>
      <w:r>
        <w:rPr>
          <w:rFonts w:hint="eastAsia" w:ascii="黑体" w:hAnsi="黑体" w:eastAsia="黑体" w:cs="黑体"/>
        </w:rPr>
        <w:t>二、人形机器人产业背景</w:t>
      </w:r>
    </w:p>
    <w:p w14:paraId="57CF9ECA">
      <w:pPr>
        <w:rPr>
          <w:rFonts w:hint="eastAsia" w:ascii="黑体" w:hAnsi="黑体" w:eastAsia="黑体" w:cs="黑体"/>
          <w:lang w:eastAsia="zh-CN"/>
        </w:rPr>
      </w:pPr>
      <w:r>
        <w:rPr>
          <w:rFonts w:hint="eastAsia" w:ascii="黑体" w:hAnsi="黑体" w:eastAsia="黑体" w:cs="黑体"/>
        </w:rPr>
        <w:t>人形机器人产业正处于爆发前夜，国家及地方政策密集出台，明确了具身智能作为未来产业的重点地位</w:t>
      </w:r>
      <w:r>
        <w:rPr>
          <w:rFonts w:hint="eastAsia" w:ascii="黑体" w:hAnsi="黑体" w:eastAsia="黑体" w:cs="黑体"/>
          <w:lang w:eastAsia="zh-CN"/>
        </w:rPr>
        <w:t>：</w:t>
      </w:r>
    </w:p>
    <w:p w14:paraId="178C7730">
      <w:pPr>
        <w:rPr>
          <w:rFonts w:hint="eastAsia" w:ascii="黑体" w:hAnsi="黑体" w:eastAsia="黑体" w:cs="黑体"/>
        </w:rPr>
      </w:pPr>
      <w:r>
        <w:rPr>
          <w:rFonts w:hint="eastAsia" w:ascii="黑体" w:hAnsi="黑体" w:eastAsia="黑体" w:cs="黑体"/>
        </w:rPr>
        <w:drawing>
          <wp:inline distT="0" distB="0" distL="114300" distR="114300">
            <wp:extent cx="5268595" cy="3307080"/>
            <wp:effectExtent l="0" t="0" r="8255"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
                    <a:stretch>
                      <a:fillRect/>
                    </a:stretch>
                  </pic:blipFill>
                  <pic:spPr>
                    <a:xfrm>
                      <a:off x="0" y="0"/>
                      <a:ext cx="5268595" cy="3307080"/>
                    </a:xfrm>
                    <a:prstGeom prst="rect">
                      <a:avLst/>
                    </a:prstGeom>
                    <a:noFill/>
                    <a:ln>
                      <a:noFill/>
                    </a:ln>
                  </pic:spPr>
                </pic:pic>
              </a:graphicData>
            </a:graphic>
          </wp:inline>
        </w:drawing>
      </w:r>
    </w:p>
    <w:p w14:paraId="1CBF1C5A">
      <w:pPr>
        <w:rPr>
          <w:rFonts w:hint="eastAsia" w:ascii="黑体" w:hAnsi="黑体" w:eastAsia="黑体" w:cs="黑体"/>
        </w:rPr>
      </w:pPr>
      <w:r>
        <w:rPr>
          <w:rFonts w:hint="eastAsia" w:ascii="黑体" w:hAnsi="黑体" w:eastAsia="黑体" w:cs="黑体"/>
          <w:lang w:val="en-US" w:eastAsia="zh-CN"/>
        </w:rPr>
        <w:t>1.</w:t>
      </w:r>
      <w:r>
        <w:rPr>
          <w:rFonts w:hint="eastAsia" w:ascii="黑体" w:hAnsi="黑体" w:eastAsia="黑体" w:cs="黑体"/>
        </w:rPr>
        <w:t>成本构成：人形机器人上游核心零部件占成本70%以上。</w:t>
      </w:r>
    </w:p>
    <w:p w14:paraId="0D37CD6F">
      <w:pPr>
        <w:rPr>
          <w:rFonts w:hint="eastAsia" w:ascii="黑体" w:hAnsi="黑体" w:eastAsia="黑体" w:cs="黑体"/>
        </w:rPr>
      </w:pPr>
      <w:r>
        <w:rPr>
          <w:rFonts w:hint="eastAsia" w:ascii="黑体" w:hAnsi="黑体" w:eastAsia="黑体" w:cs="黑体"/>
          <w:lang w:val="en-US" w:eastAsia="zh-CN"/>
        </w:rPr>
        <w:t>2.</w:t>
      </w:r>
      <w:r>
        <w:rPr>
          <w:rFonts w:hint="eastAsia" w:ascii="黑体" w:hAnsi="黑体" w:eastAsia="黑体" w:cs="黑体"/>
        </w:rPr>
        <w:t>减速器角色：作为动力总成系统，减速器（谐波、RV、行星）负责匹配转速与传递扭矩，是保障控制精度的基石。</w:t>
      </w:r>
    </w:p>
    <w:p w14:paraId="151D47E0">
      <w:pPr>
        <w:rPr>
          <w:rFonts w:hint="eastAsia" w:ascii="黑体" w:hAnsi="黑体" w:eastAsia="黑体" w:cs="黑体"/>
        </w:rPr>
      </w:pPr>
      <w:r>
        <w:rPr>
          <w:rFonts w:hint="eastAsia" w:ascii="黑体" w:hAnsi="黑体" w:eastAsia="黑体" w:cs="黑体"/>
          <w:lang w:val="en-US" w:eastAsia="zh-CN"/>
        </w:rPr>
        <w:t>3.</w:t>
      </w:r>
      <w:r>
        <w:rPr>
          <w:rFonts w:hint="eastAsia" w:ascii="黑体" w:hAnsi="黑体" w:eastAsia="黑体" w:cs="黑体"/>
        </w:rPr>
        <w:t>RV减速器优势：凭借高刚性、高扭矩容量及超高精度，RV减速器主要应用于机器人高负载主关节（如膝关节、踝关节）。</w:t>
      </w:r>
    </w:p>
    <w:p w14:paraId="03928C72">
      <w:pPr>
        <w:rPr>
          <w:rFonts w:hint="eastAsia" w:ascii="黑体" w:hAnsi="黑体" w:eastAsia="黑体" w:cs="黑体"/>
        </w:rPr>
      </w:pPr>
      <w:r>
        <w:rPr>
          <w:rFonts w:hint="eastAsia" w:ascii="黑体" w:hAnsi="黑体" w:eastAsia="黑体" w:cs="黑体"/>
        </w:rPr>
        <w:drawing>
          <wp:inline distT="0" distB="0" distL="114300" distR="114300">
            <wp:extent cx="5272405" cy="2463800"/>
            <wp:effectExtent l="0" t="0" r="4445" b="1270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5"/>
                    <a:stretch>
                      <a:fillRect/>
                    </a:stretch>
                  </pic:blipFill>
                  <pic:spPr>
                    <a:xfrm>
                      <a:off x="0" y="0"/>
                      <a:ext cx="5272405" cy="2463800"/>
                    </a:xfrm>
                    <a:prstGeom prst="rect">
                      <a:avLst/>
                    </a:prstGeom>
                    <a:noFill/>
                    <a:ln>
                      <a:noFill/>
                    </a:ln>
                  </pic:spPr>
                </pic:pic>
              </a:graphicData>
            </a:graphic>
          </wp:inline>
        </w:drawing>
      </w:r>
    </w:p>
    <w:p w14:paraId="2EB0A2E5">
      <w:pPr>
        <w:jc w:val="center"/>
        <w:rPr>
          <w:rFonts w:hint="eastAsia" w:ascii="黑体" w:hAnsi="黑体" w:eastAsia="黑体" w:cs="黑体"/>
        </w:rPr>
      </w:pPr>
      <w:r>
        <w:rPr>
          <w:rFonts w:hint="eastAsia" w:ascii="黑体" w:hAnsi="黑体" w:eastAsia="黑体" w:cs="黑体"/>
        </w:rPr>
        <w:t>谐波、RV和行星三类减速器的特点与应用对比表</w:t>
      </w:r>
    </w:p>
    <w:p w14:paraId="70D7055B">
      <w:pPr>
        <w:rPr>
          <w:rFonts w:hint="eastAsia" w:ascii="黑体" w:hAnsi="黑体" w:eastAsia="黑体" w:cs="黑体"/>
        </w:rPr>
      </w:pPr>
    </w:p>
    <w:p w14:paraId="660B29EA">
      <w:pPr>
        <w:numPr>
          <w:ilvl w:val="0"/>
          <w:numId w:val="0"/>
        </w:numPr>
        <w:rPr>
          <w:rFonts w:hint="eastAsia" w:ascii="黑体" w:hAnsi="黑体" w:eastAsia="黑体" w:cs="黑体"/>
        </w:rPr>
      </w:pPr>
      <w:r>
        <w:rPr>
          <w:rFonts w:hint="eastAsia" w:ascii="黑体" w:hAnsi="黑体" w:eastAsia="黑体" w:cs="黑体"/>
          <w:lang w:val="en-US" w:eastAsia="zh-CN"/>
        </w:rPr>
        <w:t>三、</w:t>
      </w:r>
      <w:r>
        <w:rPr>
          <w:rFonts w:hint="eastAsia" w:ascii="黑体" w:hAnsi="黑体" w:eastAsia="黑体" w:cs="黑体"/>
        </w:rPr>
        <w:t>测量挑战：以RV减速器核心零部件摆线轮的精密检测需求为例</w:t>
      </w:r>
    </w:p>
    <w:p w14:paraId="071AEBC2">
      <w:pPr>
        <w:rPr>
          <w:rFonts w:hint="eastAsia" w:ascii="黑体" w:hAnsi="黑体" w:eastAsia="黑体" w:cs="黑体"/>
        </w:rPr>
      </w:pPr>
      <w:r>
        <w:rPr>
          <w:rFonts w:hint="eastAsia" w:ascii="黑体" w:hAnsi="黑体" w:eastAsia="黑体" w:cs="黑体"/>
        </w:rPr>
        <w:t>摆线轮是RV减速器的核心部件，其外齿廓曲线的啮合精度直接决定了机器人的关节寿命与运动平稳性。</w:t>
      </w:r>
    </w:p>
    <w:p w14:paraId="7DFD35E1">
      <w:pPr>
        <w:rPr>
          <w:rFonts w:hint="eastAsia" w:ascii="黑体" w:hAnsi="黑体" w:eastAsia="黑体" w:cs="黑体"/>
        </w:rPr>
      </w:pPr>
      <w:r>
        <w:rPr>
          <w:rFonts w:hint="eastAsia" w:ascii="黑体" w:hAnsi="黑体" w:eastAsia="黑体" w:cs="黑体"/>
        </w:rPr>
        <w:drawing>
          <wp:inline distT="0" distB="0" distL="114300" distR="114300">
            <wp:extent cx="4658360" cy="3580765"/>
            <wp:effectExtent l="0" t="0" r="8890" b="63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6"/>
                    <a:stretch>
                      <a:fillRect/>
                    </a:stretch>
                  </pic:blipFill>
                  <pic:spPr>
                    <a:xfrm>
                      <a:off x="0" y="0"/>
                      <a:ext cx="4658360" cy="3580765"/>
                    </a:xfrm>
                    <a:prstGeom prst="rect">
                      <a:avLst/>
                    </a:prstGeom>
                    <a:noFill/>
                    <a:ln>
                      <a:noFill/>
                    </a:ln>
                  </pic:spPr>
                </pic:pic>
              </a:graphicData>
            </a:graphic>
          </wp:inline>
        </w:drawing>
      </w:r>
    </w:p>
    <w:p w14:paraId="20159CBD">
      <w:pPr>
        <w:rPr>
          <w:rFonts w:hint="eastAsia" w:ascii="黑体" w:hAnsi="黑体" w:eastAsia="黑体" w:cs="黑体"/>
        </w:rPr>
      </w:pPr>
      <w:r>
        <w:rPr>
          <w:rFonts w:hint="eastAsia" w:ascii="黑体" w:hAnsi="黑体" w:eastAsia="黑体" w:cs="黑体"/>
          <w:lang w:val="en-US" w:eastAsia="zh-CN"/>
        </w:rPr>
        <w:t>1.</w:t>
      </w:r>
      <w:r>
        <w:rPr>
          <w:rFonts w:hint="eastAsia" w:ascii="黑体" w:hAnsi="黑体" w:eastAsia="黑体" w:cs="黑体"/>
        </w:rPr>
        <w:t>齿廓复杂性：齿廓曲线通常采用外切外滚法或内切外滚法生成，几何构造极度复杂 。</w:t>
      </w:r>
    </w:p>
    <w:p w14:paraId="3BC98B03">
      <w:pPr>
        <w:rPr>
          <w:rFonts w:hint="eastAsia" w:ascii="黑体" w:hAnsi="黑体" w:eastAsia="黑体" w:cs="黑体"/>
        </w:rPr>
      </w:pPr>
      <w:r>
        <w:rPr>
          <w:rFonts w:hint="eastAsia" w:ascii="黑体" w:hAnsi="黑体" w:eastAsia="黑体" w:cs="黑体"/>
          <w:lang w:val="en-US" w:eastAsia="zh-CN"/>
        </w:rPr>
        <w:t>2.</w:t>
      </w:r>
      <w:r>
        <w:rPr>
          <w:rFonts w:hint="eastAsia" w:ascii="黑体" w:hAnsi="黑体" w:eastAsia="黑体" w:cs="黑体"/>
        </w:rPr>
        <w:t>核心指标：轮廓度是评价摆线轮齿形精度的综合依据，反映了实际轮廓与理论 CAD 模型的符合程度。</w:t>
      </w:r>
    </w:p>
    <w:p w14:paraId="3605473D">
      <w:pPr>
        <w:rPr>
          <w:rFonts w:hint="eastAsia" w:ascii="黑体" w:hAnsi="黑体" w:eastAsia="黑体" w:cs="黑体"/>
        </w:rPr>
      </w:pPr>
      <w:r>
        <w:rPr>
          <w:rFonts w:hint="eastAsia" w:ascii="黑体" w:hAnsi="黑体" w:eastAsia="黑体" w:cs="黑体"/>
          <w:lang w:val="en-US" w:eastAsia="zh-CN"/>
        </w:rPr>
        <w:t>3.</w:t>
      </w:r>
      <w:r>
        <w:rPr>
          <w:rFonts w:hint="eastAsia" w:ascii="黑体" w:hAnsi="黑体" w:eastAsia="黑体" w:cs="黑体"/>
        </w:rPr>
        <w:t>检测难点：传统触发式测量点位稀疏，难以完整捕捉复杂曲面的细节；而高速运动下的稳定性差则会导致数据失真。</w:t>
      </w:r>
    </w:p>
    <w:p w14:paraId="63D2204F">
      <w:pPr>
        <w:ind w:left="0" w:leftChars="0" w:firstLine="0" w:firstLineChars="0"/>
        <w:rPr>
          <w:rFonts w:hint="eastAsia" w:ascii="黑体" w:hAnsi="黑体" w:eastAsia="黑体" w:cs="黑体"/>
          <w:sz w:val="15"/>
          <w:szCs w:val="15"/>
          <w:lang w:val="en-US" w:eastAsia="zh-CN"/>
        </w:rPr>
      </w:pPr>
      <w:r>
        <w:rPr>
          <w:rFonts w:hint="eastAsia" w:ascii="黑体" w:hAnsi="黑体" w:eastAsia="黑体" w:cs="黑体"/>
        </w:rPr>
        <w:drawing>
          <wp:inline distT="0" distB="0" distL="114300" distR="114300">
            <wp:extent cx="5267960" cy="3047365"/>
            <wp:effectExtent l="0" t="0" r="8890" b="63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7"/>
                    <a:stretch>
                      <a:fillRect/>
                    </a:stretch>
                  </pic:blipFill>
                  <pic:spPr>
                    <a:xfrm>
                      <a:off x="0" y="0"/>
                      <a:ext cx="5267960" cy="3047365"/>
                    </a:xfrm>
                    <a:prstGeom prst="rect">
                      <a:avLst/>
                    </a:prstGeom>
                    <a:noFill/>
                    <a:ln>
                      <a:noFill/>
                    </a:ln>
                  </pic:spPr>
                </pic:pic>
              </a:graphicData>
            </a:graphic>
          </wp:inline>
        </w:drawing>
      </w:r>
    </w:p>
    <w:p w14:paraId="6916182D">
      <w:pPr>
        <w:jc w:val="center"/>
        <w:rPr>
          <w:rFonts w:hint="eastAsia" w:ascii="黑体" w:hAnsi="黑体" w:eastAsia="黑体" w:cs="黑体"/>
        </w:rPr>
      </w:pPr>
      <w:r>
        <w:rPr>
          <w:rFonts w:hint="eastAsia" w:ascii="黑体" w:hAnsi="黑体" w:eastAsia="黑体" w:cs="黑体"/>
        </w:rPr>
        <w:t>摆线轮图纸</w:t>
      </w:r>
    </w:p>
    <w:p w14:paraId="66C06D7B">
      <w:pPr>
        <w:rPr>
          <w:rFonts w:hint="eastAsia" w:ascii="黑体" w:hAnsi="黑体" w:eastAsia="黑体" w:cs="黑体"/>
        </w:rPr>
      </w:pPr>
    </w:p>
    <w:p w14:paraId="4B5658E9">
      <w:pPr>
        <w:rPr>
          <w:rFonts w:hint="eastAsia" w:ascii="黑体" w:hAnsi="黑体" w:eastAsia="黑体" w:cs="黑体"/>
        </w:rPr>
      </w:pPr>
      <w:r>
        <w:rPr>
          <w:rFonts w:hint="eastAsia" w:ascii="黑体" w:hAnsi="黑体" w:eastAsia="黑体" w:cs="黑体"/>
        </w:rPr>
        <w:t>四、解决方案：Mizar Gold</w:t>
      </w:r>
      <w:r>
        <w:rPr>
          <w:rFonts w:hint="eastAsia" w:ascii="黑体" w:hAnsi="黑体" w:eastAsia="黑体" w:cs="黑体"/>
          <w:lang w:val="en-US" w:eastAsia="zh-CN"/>
        </w:rPr>
        <w:t>三坐标测量机</w:t>
      </w:r>
      <w:r>
        <w:rPr>
          <w:rFonts w:hint="eastAsia" w:ascii="黑体" w:hAnsi="黑体" w:eastAsia="黑体" w:cs="黑体"/>
        </w:rPr>
        <w:t>的技术架构</w:t>
      </w:r>
    </w:p>
    <w:p w14:paraId="7BD2DC3E">
      <w:pPr>
        <w:rPr>
          <w:rFonts w:hint="eastAsia" w:ascii="黑体" w:hAnsi="黑体" w:eastAsia="黑体" w:cs="黑体"/>
        </w:rPr>
      </w:pPr>
      <w:r>
        <w:rPr>
          <w:rFonts w:hint="eastAsia" w:ascii="黑体" w:hAnsi="黑体" w:eastAsia="黑体" w:cs="黑体"/>
        </w:rPr>
        <w:t>中图仪器推出的Mizar Gold系列</w:t>
      </w:r>
      <w:r>
        <w:rPr>
          <w:rFonts w:hint="eastAsia" w:ascii="黑体" w:hAnsi="黑体" w:eastAsia="黑体" w:cs="黑体"/>
          <w:lang w:val="en-US" w:eastAsia="zh-CN"/>
        </w:rPr>
        <w:t>三坐标</w:t>
      </w:r>
      <w:r>
        <w:rPr>
          <w:rFonts w:hint="eastAsia" w:ascii="黑体" w:hAnsi="黑体" w:eastAsia="黑体" w:cs="黑体"/>
        </w:rPr>
        <w:t>专为应对此类高难度测量挑战设计。</w:t>
      </w:r>
    </w:p>
    <w:p w14:paraId="483029C0">
      <w:pPr>
        <w:rPr>
          <w:rFonts w:hint="eastAsia" w:ascii="黑体" w:hAnsi="黑体" w:eastAsia="黑体" w:cs="黑体"/>
          <w:lang w:eastAsia="zh-CN"/>
        </w:rPr>
      </w:pPr>
      <w:r>
        <w:rPr>
          <w:rFonts w:hint="eastAsia" w:ascii="黑体" w:hAnsi="黑体" w:eastAsia="黑体" w:cs="黑体"/>
          <w:lang w:eastAsia="zh-CN"/>
        </w:rPr>
        <w:drawing>
          <wp:inline distT="0" distB="0" distL="114300" distR="114300">
            <wp:extent cx="5271770" cy="3063240"/>
            <wp:effectExtent l="0" t="0" r="5080" b="3810"/>
            <wp:docPr id="2" name="图片 2" descr="中图仪器高精度三坐标测量机_Mizar G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中图仪器高精度三坐标测量机_Mizar Gold"/>
                    <pic:cNvPicPr>
                      <a:picLocks noChangeAspect="1"/>
                    </pic:cNvPicPr>
                  </pic:nvPicPr>
                  <pic:blipFill>
                    <a:blip r:embed="rId8"/>
                    <a:stretch>
                      <a:fillRect/>
                    </a:stretch>
                  </pic:blipFill>
                  <pic:spPr>
                    <a:xfrm>
                      <a:off x="0" y="0"/>
                      <a:ext cx="5271770" cy="3063240"/>
                    </a:xfrm>
                    <a:prstGeom prst="rect">
                      <a:avLst/>
                    </a:prstGeom>
                  </pic:spPr>
                </pic:pic>
              </a:graphicData>
            </a:graphic>
          </wp:inline>
        </w:drawing>
      </w:r>
    </w:p>
    <w:p w14:paraId="44F622EF">
      <w:pPr>
        <w:rPr>
          <w:rFonts w:hint="eastAsia" w:ascii="黑体" w:hAnsi="黑体" w:eastAsia="黑体" w:cs="黑体"/>
        </w:rPr>
      </w:pPr>
      <w:r>
        <w:rPr>
          <w:rFonts w:hint="eastAsia" w:ascii="黑体" w:hAnsi="黑体" w:eastAsia="黑体" w:cs="黑体"/>
        </w:rPr>
        <w:t>1. 卓越的机械稳定性</w:t>
      </w:r>
    </w:p>
    <w:p w14:paraId="6CC63886">
      <w:pPr>
        <w:rPr>
          <w:rFonts w:hint="eastAsia" w:ascii="黑体" w:hAnsi="黑体" w:eastAsia="黑体" w:cs="黑体"/>
        </w:rPr>
      </w:pPr>
      <w:r>
        <w:rPr>
          <w:rFonts w:hint="eastAsia" w:ascii="黑体" w:hAnsi="黑体" w:eastAsia="黑体" w:cs="黑体"/>
          <w:lang w:eastAsia="zh-CN"/>
        </w:rPr>
        <w:t>（</w:t>
      </w:r>
      <w:r>
        <w:rPr>
          <w:rFonts w:hint="eastAsia" w:ascii="黑体" w:hAnsi="黑体" w:eastAsia="黑体" w:cs="黑体"/>
          <w:lang w:val="en-US" w:eastAsia="zh-CN"/>
        </w:rPr>
        <w:t>1）</w:t>
      </w:r>
      <w:r>
        <w:rPr>
          <w:rFonts w:hint="eastAsia" w:ascii="黑体" w:hAnsi="黑体" w:eastAsia="黑体" w:cs="黑体"/>
        </w:rPr>
        <w:t>陶瓷材料应用：X 轴与 Z 轴均采用高强度陶瓷材料，相比传统花岗岩具备更高刚性和热稳定性，可有效抑制微变形。</w:t>
      </w:r>
    </w:p>
    <w:p w14:paraId="22C0CE50">
      <w:pPr>
        <w:rPr>
          <w:rFonts w:hint="eastAsia" w:ascii="黑体" w:hAnsi="黑体" w:eastAsia="黑体" w:cs="黑体"/>
        </w:rPr>
      </w:pPr>
      <w:r>
        <w:rPr>
          <w:rFonts w:hint="eastAsia" w:ascii="黑体" w:hAnsi="黑体" w:eastAsia="黑体" w:cs="黑体"/>
          <w:lang w:eastAsia="zh-CN"/>
        </w:rPr>
        <w:t>（</w:t>
      </w:r>
      <w:r>
        <w:rPr>
          <w:rFonts w:hint="eastAsia" w:ascii="黑体" w:hAnsi="黑体" w:eastAsia="黑体" w:cs="黑体"/>
          <w:lang w:val="en-US" w:eastAsia="zh-CN"/>
        </w:rPr>
        <w:t>2）</w:t>
      </w:r>
      <w:r>
        <w:rPr>
          <w:rFonts w:hint="eastAsia" w:ascii="黑体" w:hAnsi="黑体" w:eastAsia="黑体" w:cs="黑体"/>
        </w:rPr>
        <w:t>柔性平衡设计：Z 轴采用柔性平衡系统，降低摩擦阻力，显著提升运动平稳性。</w:t>
      </w:r>
    </w:p>
    <w:p w14:paraId="3EF0A838">
      <w:pPr>
        <w:rPr>
          <w:rFonts w:hint="eastAsia" w:ascii="黑体" w:hAnsi="黑体" w:eastAsia="黑体" w:cs="黑体"/>
        </w:rPr>
      </w:pPr>
      <w:r>
        <w:rPr>
          <w:rFonts w:hint="eastAsia" w:ascii="黑体" w:hAnsi="黑体" w:eastAsia="黑体" w:cs="黑体"/>
          <w:lang w:eastAsia="zh-CN"/>
        </w:rPr>
        <w:t>（</w:t>
      </w:r>
      <w:r>
        <w:rPr>
          <w:rFonts w:hint="eastAsia" w:ascii="黑体" w:hAnsi="黑体" w:eastAsia="黑体" w:cs="黑体"/>
          <w:lang w:val="en-US" w:eastAsia="zh-CN"/>
        </w:rPr>
        <w:t>3）</w:t>
      </w:r>
      <w:r>
        <w:rPr>
          <w:rFonts w:hint="eastAsia" w:ascii="黑体" w:hAnsi="黑体" w:eastAsia="黑体" w:cs="黑体"/>
        </w:rPr>
        <w:t>气浮布局：环抱式气浮布局确保机器在高效运行的同时维持极高重复精度。</w:t>
      </w:r>
    </w:p>
    <w:p w14:paraId="5DB9C3E8">
      <w:pPr>
        <w:rPr>
          <w:rFonts w:hint="eastAsia" w:ascii="黑体" w:hAnsi="黑体" w:eastAsia="黑体" w:cs="黑体"/>
        </w:rPr>
      </w:pPr>
    </w:p>
    <w:p w14:paraId="48982EE5">
      <w:pPr>
        <w:numPr>
          <w:ilvl w:val="0"/>
          <w:numId w:val="1"/>
        </w:numPr>
        <w:rPr>
          <w:rFonts w:hint="eastAsia" w:ascii="黑体" w:hAnsi="黑体" w:eastAsia="黑体" w:cs="黑体"/>
        </w:rPr>
      </w:pPr>
      <w:r>
        <w:rPr>
          <w:rFonts w:hint="eastAsia" w:ascii="黑体" w:hAnsi="黑体" w:eastAsia="黑体" w:cs="黑体"/>
        </w:rPr>
        <w:t xml:space="preserve">强大的测控系统 </w:t>
      </w:r>
    </w:p>
    <w:p w14:paraId="38E23AE9">
      <w:pPr>
        <w:jc w:val="center"/>
        <w:rPr>
          <w:rFonts w:hint="eastAsia" w:ascii="黑体" w:hAnsi="黑体" w:eastAsia="黑体" w:cs="黑体"/>
        </w:rPr>
      </w:pPr>
      <w:r>
        <w:rPr>
          <w:rFonts w:hint="eastAsia" w:ascii="黑体" w:hAnsi="黑体" w:eastAsia="黑体" w:cs="黑体"/>
        </w:rPr>
        <w:drawing>
          <wp:inline distT="0" distB="0" distL="114300" distR="114300">
            <wp:extent cx="5273675" cy="1992630"/>
            <wp:effectExtent l="0" t="0" r="3175" b="7620"/>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9"/>
                    <a:stretch>
                      <a:fillRect/>
                    </a:stretch>
                  </pic:blipFill>
                  <pic:spPr>
                    <a:xfrm>
                      <a:off x="0" y="0"/>
                      <a:ext cx="5273675" cy="1992630"/>
                    </a:xfrm>
                    <a:prstGeom prst="rect">
                      <a:avLst/>
                    </a:prstGeom>
                    <a:noFill/>
                    <a:ln>
                      <a:noFill/>
                    </a:ln>
                  </pic:spPr>
                </pic:pic>
              </a:graphicData>
            </a:graphic>
          </wp:inline>
        </w:drawing>
      </w:r>
    </w:p>
    <w:p w14:paraId="5287C554">
      <w:pPr>
        <w:rPr>
          <w:rFonts w:hint="eastAsia" w:ascii="黑体" w:hAnsi="黑体" w:eastAsia="黑体" w:cs="黑体"/>
        </w:rPr>
      </w:pPr>
    </w:p>
    <w:p w14:paraId="3EA764F6">
      <w:pPr>
        <w:rPr>
          <w:rFonts w:hint="eastAsia" w:ascii="黑体" w:hAnsi="黑体" w:eastAsia="黑体" w:cs="黑体"/>
        </w:rPr>
      </w:pPr>
      <w:r>
        <w:rPr>
          <w:rFonts w:hint="eastAsia" w:ascii="黑体" w:hAnsi="黑体" w:eastAsia="黑体" w:cs="黑体"/>
        </w:rPr>
        <w:t>五、软件大脑：PowerDMIS 测量与评价系统</w:t>
      </w:r>
    </w:p>
    <w:p w14:paraId="0B411663">
      <w:pPr>
        <w:rPr>
          <w:rFonts w:hint="eastAsia" w:ascii="黑体" w:hAnsi="黑体" w:eastAsia="黑体" w:cs="黑体"/>
        </w:rPr>
      </w:pPr>
      <w:r>
        <w:rPr>
          <w:rFonts w:hint="eastAsia" w:ascii="黑体" w:hAnsi="黑体" w:eastAsia="黑体" w:cs="黑体"/>
        </w:rPr>
        <w:t>PowerDMIS软件是数字化质量控制的核心，为复杂工件提供一键式解决方案 。</w:t>
      </w:r>
    </w:p>
    <w:p w14:paraId="69595A7E">
      <w:pPr>
        <w:rPr>
          <w:rFonts w:hint="eastAsia" w:ascii="黑体" w:hAnsi="黑体" w:eastAsia="黑体" w:cs="黑体"/>
        </w:rPr>
      </w:pPr>
      <w:r>
        <w:rPr>
          <w:rFonts w:hint="eastAsia" w:ascii="黑体" w:hAnsi="黑体" w:eastAsia="黑体" w:cs="黑体"/>
          <w:lang w:val="en-US" w:eastAsia="zh-CN"/>
        </w:rPr>
        <w:t>1.</w:t>
      </w:r>
      <w:r>
        <w:rPr>
          <w:rFonts w:hint="eastAsia" w:ascii="黑体" w:hAnsi="黑体" w:eastAsia="黑体" w:cs="黑体"/>
        </w:rPr>
        <w:t>算法认证：拟合算法通过德国 PTB 双认证（最小二乘法、最小区域法），确保结果的准确可靠。</w:t>
      </w:r>
    </w:p>
    <w:p w14:paraId="2B372A4C">
      <w:pPr>
        <w:rPr>
          <w:rFonts w:hint="eastAsia" w:ascii="黑体" w:hAnsi="黑体" w:eastAsia="黑体" w:cs="黑体"/>
        </w:rPr>
      </w:pPr>
      <w:r>
        <w:rPr>
          <w:rFonts w:hint="eastAsia" w:ascii="黑体" w:hAnsi="黑体" w:eastAsia="黑体" w:cs="黑体"/>
          <w:lang w:val="en-US" w:eastAsia="zh-CN"/>
        </w:rPr>
        <w:t>2.</w:t>
      </w:r>
      <w:r>
        <w:rPr>
          <w:rFonts w:hint="eastAsia" w:ascii="黑体" w:hAnsi="黑体" w:eastAsia="黑体" w:cs="黑体"/>
        </w:rPr>
        <w:t>标准兼容：全面支持最新的 ISO 1101 及 ASME Y14.5 标准，具备强大的几何尺寸和公差（GD&amp;T）分析能力。</w:t>
      </w:r>
    </w:p>
    <w:p w14:paraId="0DCF2F3A">
      <w:pPr>
        <w:rPr>
          <w:rFonts w:hint="eastAsia" w:ascii="黑体" w:hAnsi="黑体" w:eastAsia="黑体" w:cs="黑体"/>
        </w:rPr>
      </w:pPr>
      <w:r>
        <w:rPr>
          <w:rFonts w:hint="eastAsia" w:ascii="黑体" w:hAnsi="黑体" w:eastAsia="黑体" w:cs="黑体"/>
          <w:lang w:val="en-US" w:eastAsia="zh-CN"/>
        </w:rPr>
        <w:t>3.</w:t>
      </w:r>
      <w:r>
        <w:rPr>
          <w:rFonts w:hint="eastAsia" w:ascii="黑体" w:hAnsi="黑体" w:eastAsia="黑体" w:cs="黑体"/>
        </w:rPr>
        <w:t>可视化分析：支持将实测点云与 CAD 模型比对，自动计算法向偏差并生成误差分布云图，直观定位超差区域。</w:t>
      </w:r>
    </w:p>
    <w:p w14:paraId="44F44148">
      <w:pPr>
        <w:rPr>
          <w:rFonts w:hint="eastAsia" w:ascii="黑体" w:hAnsi="黑体" w:eastAsia="黑体" w:cs="黑体"/>
        </w:rPr>
      </w:pPr>
    </w:p>
    <w:p w14:paraId="03BB1D89">
      <w:pPr>
        <w:rPr>
          <w:rFonts w:hint="eastAsia" w:ascii="黑体" w:hAnsi="黑体" w:eastAsia="黑体" w:cs="黑体"/>
        </w:rPr>
      </w:pPr>
      <w:r>
        <w:rPr>
          <w:rFonts w:hint="eastAsia" w:ascii="黑体" w:hAnsi="黑体" w:eastAsia="黑体" w:cs="黑体"/>
        </w:rPr>
        <w:t>六、标准化工作流程：以</w:t>
      </w:r>
      <w:r>
        <w:rPr>
          <w:rFonts w:hint="eastAsia" w:ascii="黑体" w:hAnsi="黑体" w:eastAsia="黑体" w:cs="黑体"/>
          <w:lang w:val="en-US" w:eastAsia="zh-CN"/>
        </w:rPr>
        <w:t>三坐标</w:t>
      </w:r>
      <w:r>
        <w:rPr>
          <w:rFonts w:hint="eastAsia" w:ascii="黑体" w:hAnsi="黑体" w:eastAsia="黑体" w:cs="黑体"/>
        </w:rPr>
        <w:t xml:space="preserve">测量摆线轮为例 </w:t>
      </w:r>
    </w:p>
    <w:p w14:paraId="23D784DA">
      <w:pPr>
        <w:rPr>
          <w:rFonts w:hint="eastAsia" w:ascii="黑体" w:hAnsi="黑体" w:eastAsia="黑体" w:cs="黑体"/>
        </w:rPr>
      </w:pPr>
      <w:r>
        <w:rPr>
          <w:rFonts w:hint="eastAsia" w:ascii="黑体" w:hAnsi="黑体" w:eastAsia="黑体" w:cs="黑体"/>
        </w:rPr>
        <w:t>1. 精密装夹：使用专用模块化夹具固定摆线轮，避开基准及被测位置，确保一次装夹完成全部检测项目。</w:t>
      </w:r>
    </w:p>
    <w:p w14:paraId="4BD67F67">
      <w:pPr>
        <w:rPr>
          <w:rFonts w:hint="eastAsia" w:ascii="黑体" w:hAnsi="黑体" w:eastAsia="黑体" w:cs="黑体"/>
        </w:rPr>
      </w:pPr>
      <w:r>
        <w:rPr>
          <w:rFonts w:hint="eastAsia" w:ascii="黑体" w:hAnsi="黑体" w:eastAsia="黑体" w:cs="黑体"/>
        </w:rPr>
        <w:t>2. 坐标系建立：依据图纸规范建立坐标系，原点与基准点精确对齐，并通过重新测量基准特征验证 XYZT 精度。</w:t>
      </w:r>
    </w:p>
    <w:p w14:paraId="2DC8D9FA">
      <w:pPr>
        <w:rPr>
          <w:rFonts w:hint="eastAsia" w:ascii="黑体" w:hAnsi="黑体" w:eastAsia="黑体" w:cs="黑体"/>
        </w:rPr>
      </w:pPr>
      <w:r>
        <w:rPr>
          <w:rFonts w:hint="eastAsia" w:ascii="黑体" w:hAnsi="黑体" w:eastAsia="黑体" w:cs="黑体"/>
        </w:rPr>
        <w:t>3. 高速连续扫描：设定8mm/s恒定扫描速率，通过 CP500S 测头采集高密度点云数据，防止因速度波动导致点位失真。</w:t>
      </w:r>
    </w:p>
    <w:p w14:paraId="39B25570">
      <w:pPr>
        <w:rPr>
          <w:rFonts w:hint="eastAsia" w:ascii="黑体" w:hAnsi="黑体" w:eastAsia="黑体" w:cs="黑体"/>
        </w:rPr>
      </w:pPr>
      <w:r>
        <w:rPr>
          <w:rFonts w:hint="eastAsia" w:ascii="黑体" w:hAnsi="黑体" w:eastAsia="黑体" w:cs="黑体"/>
        </w:rPr>
        <w:t>4. 报告输出：软件自动执行最佳拟合对齐，计算线轮廓度误差，并输出定制化图形数据报告（如PDF、EXCEL格式）。</w:t>
      </w:r>
    </w:p>
    <w:p w14:paraId="48AFF5CD">
      <w:pPr>
        <w:jc w:val="center"/>
        <w:rPr>
          <w:rFonts w:hint="eastAsia" w:ascii="黑体" w:hAnsi="黑体" w:eastAsia="黑体" w:cs="黑体"/>
        </w:rPr>
      </w:pPr>
      <w:r>
        <w:rPr>
          <w:rFonts w:hint="eastAsia" w:ascii="黑体" w:hAnsi="黑体" w:eastAsia="黑体" w:cs="黑体"/>
        </w:rPr>
        <w:drawing>
          <wp:inline distT="0" distB="0" distL="114300" distR="114300">
            <wp:extent cx="5274310" cy="3068955"/>
            <wp:effectExtent l="0" t="0" r="2540" b="1714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0"/>
                    <a:stretch>
                      <a:fillRect/>
                    </a:stretch>
                  </pic:blipFill>
                  <pic:spPr>
                    <a:xfrm>
                      <a:off x="0" y="0"/>
                      <a:ext cx="5274310" cy="3068955"/>
                    </a:xfrm>
                    <a:prstGeom prst="rect">
                      <a:avLst/>
                    </a:prstGeom>
                    <a:noFill/>
                    <a:ln>
                      <a:noFill/>
                    </a:ln>
                  </pic:spPr>
                </pic:pic>
              </a:graphicData>
            </a:graphic>
          </wp:inline>
        </w:drawing>
      </w:r>
    </w:p>
    <w:p w14:paraId="5585FC9B">
      <w:pPr>
        <w:jc w:val="center"/>
        <w:rPr>
          <w:rFonts w:hint="eastAsia" w:ascii="黑体" w:hAnsi="黑体" w:eastAsia="黑体" w:cs="黑体"/>
        </w:rPr>
      </w:pPr>
      <w:r>
        <w:rPr>
          <w:rFonts w:hint="eastAsia" w:ascii="黑体" w:hAnsi="黑体" w:eastAsia="黑体" w:cs="黑体"/>
        </w:rPr>
        <w:drawing>
          <wp:inline distT="0" distB="0" distL="114300" distR="114300">
            <wp:extent cx="5266690" cy="2853055"/>
            <wp:effectExtent l="0" t="0" r="10160" b="4445"/>
            <wp:docPr id="1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
                    <pic:cNvPicPr>
                      <a:picLocks noChangeAspect="1"/>
                    </pic:cNvPicPr>
                  </pic:nvPicPr>
                  <pic:blipFill>
                    <a:blip r:embed="rId11"/>
                    <a:stretch>
                      <a:fillRect/>
                    </a:stretch>
                  </pic:blipFill>
                  <pic:spPr>
                    <a:xfrm>
                      <a:off x="0" y="0"/>
                      <a:ext cx="5266690" cy="2853055"/>
                    </a:xfrm>
                    <a:prstGeom prst="rect">
                      <a:avLst/>
                    </a:prstGeom>
                    <a:noFill/>
                    <a:ln>
                      <a:noFill/>
                    </a:ln>
                  </pic:spPr>
                </pic:pic>
              </a:graphicData>
            </a:graphic>
          </wp:inline>
        </w:drawing>
      </w:r>
    </w:p>
    <w:p w14:paraId="42905304">
      <w:pPr>
        <w:rPr>
          <w:rFonts w:hint="eastAsia" w:ascii="黑体" w:hAnsi="黑体" w:eastAsia="黑体" w:cs="黑体"/>
        </w:rPr>
      </w:pPr>
    </w:p>
    <w:p w14:paraId="247F6B6C">
      <w:pPr>
        <w:rPr>
          <w:rFonts w:hint="eastAsia" w:ascii="黑体" w:hAnsi="黑体" w:eastAsia="黑体" w:cs="黑体"/>
        </w:rPr>
      </w:pPr>
      <w:r>
        <w:rPr>
          <w:rFonts w:hint="eastAsia" w:ascii="黑体" w:hAnsi="黑体" w:eastAsia="黑体" w:cs="黑体"/>
        </w:rPr>
        <w:t>七、结论</w:t>
      </w:r>
    </w:p>
    <w:p w14:paraId="79426A9A">
      <w:pPr>
        <w:rPr>
          <w:rFonts w:hint="eastAsia" w:ascii="黑体" w:hAnsi="黑体" w:eastAsia="黑体" w:cs="黑体"/>
        </w:rPr>
      </w:pPr>
      <w:r>
        <w:rPr>
          <w:rFonts w:hint="eastAsia" w:ascii="黑体" w:hAnsi="黑体" w:eastAsia="黑体" w:cs="黑体"/>
        </w:rPr>
        <w:t>Mizar Gold高精度三坐标测量机不仅达到了MPEE最高</w:t>
      </w:r>
      <w:r>
        <w:rPr>
          <w:rFonts w:hint="eastAsia" w:ascii="黑体" w:hAnsi="黑体" w:eastAsia="黑体" w:cs="黑体"/>
          <w:lang w:val="en-US" w:eastAsia="zh-CN"/>
        </w:rPr>
        <w:t>1.0μm</w:t>
      </w:r>
      <w:r>
        <w:rPr>
          <w:rFonts w:hint="eastAsia" w:ascii="黑体" w:hAnsi="黑体" w:eastAsia="黑体" w:cs="黑体"/>
        </w:rPr>
        <w:t>的顶尖精度 ，更通过先进的扫描技术平衡了制造过程中的精度与效率。在具身智能产业加速跑的今天，Mizar Gold 这种“陶瓷结构 + 扫描测头” 组合</w:t>
      </w:r>
      <w:r>
        <w:rPr>
          <w:rFonts w:hint="eastAsia" w:ascii="黑体" w:hAnsi="黑体" w:eastAsia="黑体" w:cs="黑体"/>
          <w:lang w:val="en-US" w:eastAsia="zh-CN"/>
        </w:rPr>
        <w:t>的</w:t>
      </w:r>
      <w:r>
        <w:rPr>
          <w:rFonts w:hint="eastAsia" w:ascii="黑体" w:hAnsi="黑体" w:eastAsia="黑体" w:cs="黑体"/>
        </w:rPr>
        <w:t>高精尖计量保障</w:t>
      </w:r>
      <w:r>
        <w:rPr>
          <w:rFonts w:hint="eastAsia" w:ascii="黑体" w:hAnsi="黑体" w:eastAsia="黑体" w:cs="黑体"/>
          <w:lang w:eastAsia="zh-CN"/>
        </w:rPr>
        <w:t>，</w:t>
      </w:r>
      <w:r>
        <w:rPr>
          <w:rFonts w:hint="eastAsia" w:ascii="黑体" w:hAnsi="黑体" w:eastAsia="黑体" w:cs="黑体"/>
        </w:rPr>
        <w:t>旨在替代高昂的进口同类设备，实现底层计量的国产化支撑</w:t>
      </w:r>
      <w:r>
        <w:rPr>
          <w:rFonts w:hint="eastAsia" w:ascii="黑体" w:hAnsi="黑体" w:eastAsia="黑体" w:cs="黑体"/>
          <w:lang w:eastAsia="zh-CN"/>
        </w:rPr>
        <w:t>，</w:t>
      </w:r>
      <w:r>
        <w:rPr>
          <w:rFonts w:hint="eastAsia" w:ascii="黑体" w:hAnsi="黑体" w:eastAsia="黑体" w:cs="黑体"/>
        </w:rPr>
        <w:t>是人形机器人核心零部件走向全球市场的入场券。</w:t>
      </w:r>
    </w:p>
    <w:p w14:paraId="3ECDB238">
      <w:pPr>
        <w:rPr>
          <w:rFonts w:hint="eastAsia" w:ascii="黑体" w:hAnsi="黑体" w:eastAsia="黑体" w:cs="黑体"/>
        </w:rPr>
      </w:pPr>
    </w:p>
    <w:p w14:paraId="5C1644EB">
      <w:pPr>
        <w:rPr>
          <w:rFonts w:hint="eastAsia" w:ascii="黑体" w:hAnsi="黑体" w:eastAsia="黑体" w:cs="黑体"/>
        </w:rPr>
      </w:pPr>
      <w:r>
        <w:rPr>
          <w:rFonts w:hint="eastAsia" w:ascii="黑体" w:hAnsi="黑体" w:eastAsia="黑体" w:cs="黑体"/>
        </w:rPr>
        <w:t>基于 Mizar Gold 高精度三坐标测量机的核心技术参数（如1.0μm示值误差、1000点/秒高速扫描、高强度陶瓷结构），针对人形机器人产业链中除“摆线轮”外的其他高精密部件，以下是为您整理的典型应用场景清单：</w:t>
      </w:r>
    </w:p>
    <w:p w14:paraId="6BD72D2B">
      <w:pPr>
        <w:jc w:val="center"/>
        <w:rPr>
          <w:rFonts w:hint="eastAsia" w:ascii="黑体" w:hAnsi="黑体" w:eastAsia="黑体" w:cs="黑体"/>
        </w:rPr>
      </w:pPr>
      <w:r>
        <w:rPr>
          <w:rFonts w:hint="eastAsia" w:ascii="黑体" w:hAnsi="黑体" w:eastAsia="黑体" w:cs="黑体"/>
        </w:rPr>
        <w:drawing>
          <wp:inline distT="0" distB="0" distL="114300" distR="114300">
            <wp:extent cx="5269865" cy="5405120"/>
            <wp:effectExtent l="0" t="0" r="6985" b="5080"/>
            <wp:docPr id="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pic:cNvPicPr>
                      <a:picLocks noChangeAspect="1"/>
                    </pic:cNvPicPr>
                  </pic:nvPicPr>
                  <pic:blipFill>
                    <a:blip r:embed="rId12"/>
                    <a:stretch>
                      <a:fillRect/>
                    </a:stretch>
                  </pic:blipFill>
                  <pic:spPr>
                    <a:xfrm>
                      <a:off x="0" y="0"/>
                      <a:ext cx="5269865" cy="5405120"/>
                    </a:xfrm>
                    <a:prstGeom prst="rect">
                      <a:avLst/>
                    </a:prstGeom>
                    <a:noFill/>
                    <a:ln>
                      <a:noFill/>
                    </a:ln>
                  </pic:spPr>
                </pic:pic>
              </a:graphicData>
            </a:graphic>
          </wp:inline>
        </w:drawing>
      </w:r>
    </w:p>
    <w:p w14:paraId="65195E1E">
      <w:pPr>
        <w:jc w:val="center"/>
        <w:rPr>
          <w:rFonts w:hint="eastAsia" w:ascii="黑体" w:hAnsi="黑体" w:eastAsia="黑体" w:cs="黑体"/>
        </w:rPr>
      </w:pPr>
      <w:r>
        <w:rPr>
          <w:rFonts w:hint="eastAsia" w:ascii="黑体" w:hAnsi="黑体" w:eastAsia="黑体" w:cs="黑体"/>
        </w:rPr>
        <w:t>人形机器人精密件典型应用场景清单</w:t>
      </w:r>
    </w:p>
    <w:p w14:paraId="0B85859A">
      <w:pPr>
        <w:rPr>
          <w:rFonts w:hint="eastAsia" w:ascii="黑体" w:hAnsi="黑体" w:eastAsia="黑体" w:cs="黑体"/>
        </w:rPr>
      </w:pPr>
    </w:p>
    <w:p w14:paraId="18EE82EE">
      <w:pPr>
        <w:rPr>
          <w:rFonts w:hint="eastAsia" w:ascii="黑体" w:hAnsi="黑体" w:eastAsia="黑体" w:cs="黑体"/>
          <w:lang w:eastAsia="zh-CN"/>
        </w:rPr>
      </w:pPr>
      <w:r>
        <w:rPr>
          <w:rFonts w:hint="eastAsia" w:ascii="黑体" w:hAnsi="黑体" w:eastAsia="黑体" w:cs="黑体"/>
          <w:lang w:val="en-US" w:eastAsia="zh-CN"/>
        </w:rPr>
        <w:t>附：</w:t>
      </w:r>
      <w:r>
        <w:rPr>
          <w:rFonts w:hint="eastAsia" w:ascii="黑体" w:hAnsi="黑体" w:eastAsia="黑体" w:cs="黑体"/>
          <w:lang w:eastAsia="zh-CN"/>
        </w:rPr>
        <w:t>技术参数对比表</w:t>
      </w:r>
    </w:p>
    <w:p w14:paraId="725EE865">
      <w:pPr>
        <w:rPr>
          <w:rFonts w:hint="eastAsia" w:ascii="黑体" w:hAnsi="黑体" w:eastAsia="黑体" w:cs="黑体"/>
          <w:lang w:eastAsia="zh-CN"/>
        </w:rPr>
      </w:pPr>
      <w:r>
        <w:rPr>
          <w:rFonts w:hint="eastAsia" w:ascii="黑体" w:hAnsi="黑体" w:eastAsia="黑体" w:cs="黑体"/>
          <w:lang w:eastAsia="zh-CN"/>
        </w:rPr>
        <w:t>1. Mizar Gold 系列主机性能规格表</w:t>
      </w:r>
    </w:p>
    <w:p w14:paraId="0A511126">
      <w:pPr>
        <w:rPr>
          <w:rFonts w:hint="eastAsia" w:ascii="黑体" w:hAnsi="黑体" w:eastAsia="黑体" w:cs="黑体"/>
          <w:lang w:eastAsia="zh-CN"/>
        </w:rPr>
      </w:pPr>
      <w:r>
        <w:rPr>
          <w:rFonts w:hint="eastAsia" w:ascii="黑体" w:hAnsi="黑体" w:eastAsia="黑体" w:cs="黑体"/>
          <w:lang w:eastAsia="zh-CN"/>
        </w:rPr>
        <w:t>展示不同型号的测量空间与承重能力，体现方案的普适性。</w:t>
      </w:r>
    </w:p>
    <w:p w14:paraId="53DDF453">
      <w:pPr>
        <w:jc w:val="center"/>
        <w:rPr>
          <w:rFonts w:hint="eastAsia" w:ascii="黑体" w:hAnsi="黑体" w:eastAsia="黑体" w:cs="黑体"/>
        </w:rPr>
      </w:pPr>
      <w:r>
        <w:rPr>
          <w:rFonts w:hint="eastAsia" w:ascii="黑体" w:hAnsi="黑体" w:eastAsia="黑体" w:cs="黑体"/>
        </w:rPr>
        <w:drawing>
          <wp:inline distT="0" distB="0" distL="114300" distR="114300">
            <wp:extent cx="5271135" cy="1938020"/>
            <wp:effectExtent l="0" t="0" r="5715" b="5080"/>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13"/>
                    <a:stretch>
                      <a:fillRect/>
                    </a:stretch>
                  </pic:blipFill>
                  <pic:spPr>
                    <a:xfrm>
                      <a:off x="0" y="0"/>
                      <a:ext cx="5271135" cy="1938020"/>
                    </a:xfrm>
                    <a:prstGeom prst="rect">
                      <a:avLst/>
                    </a:prstGeom>
                    <a:noFill/>
                    <a:ln>
                      <a:noFill/>
                    </a:ln>
                  </pic:spPr>
                </pic:pic>
              </a:graphicData>
            </a:graphic>
          </wp:inline>
        </w:drawing>
      </w:r>
    </w:p>
    <w:p w14:paraId="4DA4EFC6">
      <w:pPr>
        <w:rPr>
          <w:rFonts w:hint="eastAsia" w:ascii="黑体" w:hAnsi="黑体" w:eastAsia="黑体" w:cs="黑体"/>
          <w:lang w:eastAsia="zh-CN"/>
        </w:rPr>
      </w:pPr>
    </w:p>
    <w:p w14:paraId="334EF4F1">
      <w:pPr>
        <w:rPr>
          <w:rFonts w:hint="eastAsia" w:ascii="黑体" w:hAnsi="黑体" w:eastAsia="黑体" w:cs="黑体"/>
          <w:lang w:eastAsia="zh-CN"/>
        </w:rPr>
      </w:pPr>
      <w:r>
        <w:rPr>
          <w:rFonts w:hint="eastAsia" w:ascii="黑体" w:hAnsi="黑体" w:eastAsia="黑体" w:cs="黑体"/>
          <w:lang w:eastAsia="zh-CN"/>
        </w:rPr>
        <w:t>2. CP500S 扫描测头配置对比表</w:t>
      </w:r>
    </w:p>
    <w:p w14:paraId="11FEC32C">
      <w:pPr>
        <w:rPr>
          <w:rFonts w:hint="eastAsia" w:ascii="黑体" w:hAnsi="黑体" w:eastAsia="黑体" w:cs="黑体"/>
          <w:lang w:eastAsia="zh-CN"/>
        </w:rPr>
      </w:pPr>
      <w:r>
        <w:rPr>
          <w:rFonts w:hint="eastAsia" w:ascii="黑体" w:hAnsi="黑体" w:eastAsia="黑体" w:cs="黑体"/>
          <w:lang w:eastAsia="zh-CN"/>
        </w:rPr>
        <w:t>针对摆线轮等不同深度的工件，提供灵活的有效工作长度（EWL）选择。</w:t>
      </w:r>
    </w:p>
    <w:p w14:paraId="338AC730">
      <w:pPr>
        <w:rPr>
          <w:rFonts w:hint="eastAsia" w:ascii="黑体" w:hAnsi="黑体" w:eastAsia="黑体" w:cs="黑体"/>
        </w:rPr>
      </w:pPr>
      <w:r>
        <w:rPr>
          <w:rFonts w:hint="eastAsia" w:ascii="黑体" w:hAnsi="黑体" w:eastAsia="黑体" w:cs="黑体"/>
        </w:rPr>
        <w:drawing>
          <wp:inline distT="0" distB="0" distL="114300" distR="114300">
            <wp:extent cx="5271135" cy="2647950"/>
            <wp:effectExtent l="0" t="0" r="5715" b="0"/>
            <wp:docPr id="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9"/>
                    <pic:cNvPicPr>
                      <a:picLocks noChangeAspect="1"/>
                    </pic:cNvPicPr>
                  </pic:nvPicPr>
                  <pic:blipFill>
                    <a:blip r:embed="rId14"/>
                    <a:stretch>
                      <a:fillRect/>
                    </a:stretch>
                  </pic:blipFill>
                  <pic:spPr>
                    <a:xfrm>
                      <a:off x="0" y="0"/>
                      <a:ext cx="5271135" cy="2647950"/>
                    </a:xfrm>
                    <a:prstGeom prst="rect">
                      <a:avLst/>
                    </a:prstGeom>
                    <a:noFill/>
                    <a:ln>
                      <a:noFill/>
                    </a:ln>
                  </pic:spPr>
                </pic:pic>
              </a:graphicData>
            </a:graphic>
          </wp:inline>
        </w:drawing>
      </w:r>
    </w:p>
    <w:p w14:paraId="02BFFDF4">
      <w:pPr>
        <w:rPr>
          <w:rFonts w:hint="eastAsia" w:ascii="黑体" w:hAnsi="黑体" w:eastAsia="黑体" w:cs="黑体"/>
        </w:rPr>
      </w:pPr>
    </w:p>
    <w:p w14:paraId="3754A652">
      <w:pPr>
        <w:rPr>
          <w:rFonts w:hint="eastAsia" w:ascii="黑体" w:hAnsi="黑体" w:eastAsia="黑体" w:cs="黑体"/>
          <w:lang w:val="en-US" w:eastAsia="zh-CN"/>
        </w:rPr>
      </w:pPr>
      <w:r>
        <w:rPr>
          <w:rFonts w:hint="eastAsia" w:ascii="黑体" w:hAnsi="黑体" w:eastAsia="黑体" w:cs="黑体"/>
          <w:lang w:eastAsia="zh-CN"/>
        </w:rPr>
        <w:t>3. Mizar Gold 结构材料优势</w:t>
      </w:r>
      <w:r>
        <w:rPr>
          <w:rFonts w:hint="eastAsia" w:ascii="黑体" w:hAnsi="黑体" w:eastAsia="黑体" w:cs="黑体"/>
          <w:lang w:val="en-US" w:eastAsia="zh-CN"/>
        </w:rPr>
        <w:t>对比表</w:t>
      </w:r>
    </w:p>
    <w:p w14:paraId="000CE411">
      <w:pPr>
        <w:rPr>
          <w:rFonts w:hint="eastAsia" w:ascii="黑体" w:hAnsi="黑体" w:eastAsia="黑体" w:cs="黑体"/>
          <w:lang w:eastAsia="zh-CN"/>
        </w:rPr>
      </w:pPr>
      <w:r>
        <w:rPr>
          <w:rFonts w:hint="eastAsia" w:ascii="黑体" w:hAnsi="黑体" w:eastAsia="黑体" w:cs="黑体"/>
          <w:lang w:eastAsia="zh-CN"/>
        </w:rPr>
        <w:t>展示为何 Mizar Gold 优于传统三坐标测量机。</w:t>
      </w:r>
    </w:p>
    <w:p w14:paraId="730FE09F">
      <w:pPr>
        <w:jc w:val="center"/>
        <w:rPr>
          <w:rFonts w:hint="eastAsia" w:ascii="黑体" w:hAnsi="黑体" w:eastAsia="黑体" w:cs="黑体"/>
          <w:lang w:eastAsia="zh-CN"/>
        </w:rPr>
      </w:pPr>
      <w:r>
        <w:rPr>
          <w:rFonts w:hint="eastAsia" w:ascii="黑体" w:hAnsi="黑体" w:eastAsia="黑体" w:cs="黑体"/>
        </w:rPr>
        <w:drawing>
          <wp:inline distT="0" distB="0" distL="114300" distR="114300">
            <wp:extent cx="5269230" cy="2082800"/>
            <wp:effectExtent l="0" t="0" r="7620" b="12700"/>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pic:cNvPicPr>
                  </pic:nvPicPr>
                  <pic:blipFill>
                    <a:blip r:embed="rId15"/>
                    <a:stretch>
                      <a:fillRect/>
                    </a:stretch>
                  </pic:blipFill>
                  <pic:spPr>
                    <a:xfrm>
                      <a:off x="0" y="0"/>
                      <a:ext cx="5269230" cy="208280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E35B1"/>
    <w:multiLevelType w:val="singleLevel"/>
    <w:tmpl w:val="CA4E35B1"/>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3D0AFE"/>
    <w:rsid w:val="00D179C4"/>
    <w:rsid w:val="01C761D7"/>
    <w:rsid w:val="070F57D7"/>
    <w:rsid w:val="077706A0"/>
    <w:rsid w:val="09B82702"/>
    <w:rsid w:val="0A4A3E4A"/>
    <w:rsid w:val="0C833643"/>
    <w:rsid w:val="138A779A"/>
    <w:rsid w:val="19523A7B"/>
    <w:rsid w:val="220A381E"/>
    <w:rsid w:val="23FE3883"/>
    <w:rsid w:val="2CEF46B1"/>
    <w:rsid w:val="3AC161F9"/>
    <w:rsid w:val="3E9E2257"/>
    <w:rsid w:val="48A64365"/>
    <w:rsid w:val="4A3D0AFE"/>
    <w:rsid w:val="59EC3BA2"/>
    <w:rsid w:val="5DAB2129"/>
    <w:rsid w:val="636700A3"/>
    <w:rsid w:val="73920EBF"/>
    <w:rsid w:val="74C82D9C"/>
    <w:rsid w:val="772F4CC6"/>
    <w:rsid w:val="7E5A6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2122</Words>
  <Characters>2392</Characters>
  <Lines>0</Lines>
  <Paragraphs>0</Paragraphs>
  <TotalTime>31</TotalTime>
  <ScaleCrop>false</ScaleCrop>
  <LinksUpToDate>false</LinksUpToDate>
  <CharactersWithSpaces>2494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2026-01-28T01:33:00Z</dcterms:created>
  <dc:creator>tournedos</dc:creator>
  <cp:lastModifiedBy>tournedos</cp:lastModifiedBy>
  <dcterms:modified xsi:type="dcterms:W3CDTF">2026-01-29T08:55:23Z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E12DD1A91DFE4AC08112C063F9ECDCDE_13</vt:lpwstr>
  </property>
  <property fmtid="{D5CDD505-2E9C-101B-9397-08002B2CF9AE}" pid="4" name="KSOTemplateDocerSaveRecord">
    <vt:lpwstr>eyJoZGlkIjoiYTFiNDVjMmU4ZjZkOTA1YzYzYzRiNWQ3MGQyMzQyZTQiLCJ1c2VySWQiOiIyNjE5NzA0OTUifQ==</vt:lpwstr>
  </property>
</Properties>
</file>