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1FA06">
      <w:pPr>
        <w:spacing w:before="90" w:line="222" w:lineRule="auto"/>
        <w:ind w:left="659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b/>
          <w:bCs/>
          <w:spacing w:val="-7"/>
          <w:sz w:val="44"/>
          <w:szCs w:val="44"/>
        </w:rPr>
        <w:t>临床心梗时快速判断梗死部位和范围</w:t>
      </w:r>
    </w:p>
    <w:p w14:paraId="578AE5F0">
      <w:pPr>
        <w:spacing w:line="254" w:lineRule="auto"/>
        <w:rPr>
          <w:rFonts w:ascii="Arial"/>
          <w:sz w:val="21"/>
        </w:rPr>
      </w:pPr>
    </w:p>
    <w:p w14:paraId="795E9D7F">
      <w:pPr>
        <w:spacing w:line="255" w:lineRule="auto"/>
        <w:rPr>
          <w:rFonts w:ascii="Arial"/>
          <w:sz w:val="21"/>
        </w:rPr>
      </w:pPr>
    </w:p>
    <w:p w14:paraId="03F7FBEA">
      <w:pPr>
        <w:spacing w:line="255" w:lineRule="auto"/>
        <w:rPr>
          <w:rFonts w:ascii="Arial"/>
          <w:sz w:val="21"/>
        </w:rPr>
      </w:pPr>
    </w:p>
    <w:p w14:paraId="7A40531D">
      <w:pPr>
        <w:spacing w:line="10290" w:lineRule="exact"/>
        <w:ind w:firstLine="813"/>
      </w:pPr>
      <w:r>
        <w:rPr>
          <w:position w:val="-205"/>
        </w:rPr>
        <w:drawing>
          <wp:inline distT="0" distB="0" distL="0" distR="0">
            <wp:extent cx="5060950" cy="65335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60984" cy="653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E6A51">
      <w:pPr>
        <w:spacing w:before="1" w:line="218" w:lineRule="auto"/>
        <w:ind w:left="56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"/>
          <w:sz w:val="28"/>
          <w:szCs w:val="28"/>
        </w:rPr>
        <w:t>心电图则可以提供急性心肌梗死的早期诊断(数分钟即可出现变</w:t>
      </w:r>
    </w:p>
    <w:p w14:paraId="592C97E1">
      <w:pPr>
        <w:spacing w:before="227" w:line="219" w:lineRule="auto"/>
        <w:ind w:left="1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4"/>
          <w:sz w:val="28"/>
          <w:szCs w:val="28"/>
        </w:rPr>
        <w:t>化)、梗死部位和范围的诊断，能提供更多的预后信息。</w:t>
      </w:r>
    </w:p>
    <w:p w14:paraId="08852546">
      <w:pPr>
        <w:spacing w:line="219" w:lineRule="auto"/>
        <w:rPr>
          <w:rFonts w:ascii="宋体" w:hAnsi="宋体" w:eastAsia="宋体" w:cs="宋体"/>
          <w:sz w:val="28"/>
          <w:szCs w:val="28"/>
        </w:rPr>
        <w:sectPr>
          <w:pgSz w:w="11910" w:h="16840"/>
          <w:pgMar w:top="1431" w:right="1339" w:bottom="0" w:left="1786" w:header="0" w:footer="0" w:gutter="0"/>
          <w:cols w:space="720" w:num="1"/>
        </w:sectPr>
      </w:pPr>
    </w:p>
    <w:p w14:paraId="476B2E8D">
      <w:pPr>
        <w:pStyle w:val="2"/>
        <w:spacing w:line="250" w:lineRule="auto"/>
      </w:pPr>
    </w:p>
    <w:p w14:paraId="3CA65296">
      <w:pPr>
        <w:pStyle w:val="2"/>
        <w:spacing w:line="251" w:lineRule="auto"/>
      </w:pPr>
    </w:p>
    <w:p w14:paraId="321B8FC3">
      <w:pPr>
        <w:pStyle w:val="2"/>
        <w:spacing w:line="251" w:lineRule="auto"/>
      </w:pPr>
    </w:p>
    <w:p w14:paraId="0DE5AB77">
      <w:pPr>
        <w:pStyle w:val="2"/>
        <w:spacing w:line="251" w:lineRule="auto"/>
      </w:pPr>
    </w:p>
    <w:p w14:paraId="217FE036">
      <w:pPr>
        <w:pStyle w:val="2"/>
        <w:spacing w:line="251" w:lineRule="auto"/>
      </w:pPr>
    </w:p>
    <w:p w14:paraId="4D517438">
      <w:pPr>
        <w:pStyle w:val="2"/>
        <w:spacing w:line="251" w:lineRule="auto"/>
      </w:pPr>
    </w:p>
    <w:p w14:paraId="0E2EA479">
      <w:pPr>
        <w:spacing w:before="72" w:line="286" w:lineRule="auto"/>
        <w:ind w:left="4852" w:right="2639" w:hanging="99"/>
        <w:rPr>
          <w:rFonts w:ascii="宋体" w:hAnsi="宋体" w:eastAsia="宋体" w:cs="宋体"/>
          <w:sz w:val="22"/>
          <w:szCs w:val="2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122555</wp:posOffset>
            </wp:positionH>
            <wp:positionV relativeFrom="paragraph">
              <wp:posOffset>-130175</wp:posOffset>
            </wp:positionV>
            <wp:extent cx="3829050" cy="17653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28994" cy="1765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6"/>
          <w:sz w:val="22"/>
          <w:szCs w:val="22"/>
        </w:rPr>
        <w:t>ST</w:t>
      </w:r>
      <w:r>
        <w:rPr>
          <w:rFonts w:ascii="宋体" w:hAnsi="宋体" w:eastAsia="宋体" w:cs="宋体"/>
          <w:spacing w:val="-18"/>
          <w:sz w:val="22"/>
          <w:szCs w:val="22"/>
        </w:rPr>
        <w:t xml:space="preserve"> </w:t>
      </w:r>
      <w:r>
        <w:rPr>
          <w:rFonts w:ascii="仿宋" w:hAnsi="仿宋" w:eastAsia="仿宋" w:cs="仿宋"/>
          <w:spacing w:val="-6"/>
          <w:sz w:val="22"/>
          <w:szCs w:val="22"/>
        </w:rPr>
        <w:t>段抬高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ascii="宋体" w:hAnsi="宋体" w:eastAsia="宋体" w:cs="宋体"/>
          <w:sz w:val="22"/>
          <w:szCs w:val="22"/>
        </w:rPr>
        <w:t>↑</w:t>
      </w:r>
    </w:p>
    <w:p w14:paraId="25F6A4C4">
      <w:pPr>
        <w:spacing w:line="221" w:lineRule="auto"/>
        <w:ind w:left="2413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2"/>
          <w:sz w:val="22"/>
          <w:szCs w:val="22"/>
        </w:rPr>
        <w:t>缺血</w:t>
      </w:r>
    </w:p>
    <w:p w14:paraId="7F45ECAA">
      <w:pPr>
        <w:spacing w:before="228" w:line="221" w:lineRule="auto"/>
        <w:ind w:left="5793" w:right="2141" w:hanging="320"/>
        <w:rPr>
          <w:rFonts w:ascii="黑体" w:hAnsi="黑体" w:eastAsia="黑体" w:cs="黑体"/>
          <w:sz w:val="22"/>
          <w:szCs w:val="22"/>
        </w:rPr>
      </w:pPr>
      <w:r>
        <w:pict>
          <v:shape id="_x0000_s1026" o:spid="_x0000_s1026" o:spt="202" type="#_x0000_t202" style="position:absolute;left:0pt;margin-left:82.15pt;margin-top:6.85pt;height:15.3pt;width:23.7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B8F6977">
                  <w:pPr>
                    <w:spacing w:before="20" w:line="223" w:lineRule="auto"/>
                    <w:ind w:left="20"/>
                    <w:rPr>
                      <w:rFonts w:ascii="黑体" w:hAnsi="黑体" w:eastAsia="黑体" w:cs="黑体"/>
                      <w:sz w:val="22"/>
                      <w:szCs w:val="22"/>
                    </w:rPr>
                  </w:pPr>
                  <w:r>
                    <w:rPr>
                      <w:rFonts w:ascii="黑体" w:hAnsi="黑体" w:eastAsia="黑体" w:cs="黑体"/>
                      <w:spacing w:val="-2"/>
                      <w:sz w:val="22"/>
                      <w:szCs w:val="22"/>
                    </w:rPr>
                    <w:t>梗死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180.65pt;margin-top:23.1pt;height:15.15pt;width:55.5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9BA5757">
                  <w:pPr>
                    <w:spacing w:before="20" w:line="220" w:lineRule="auto"/>
                    <w:jc w:val="right"/>
                    <w:rPr>
                      <w:rFonts w:ascii="仿宋" w:hAnsi="仿宋" w:eastAsia="仿宋" w:cs="仿宋"/>
                      <w:sz w:val="22"/>
                      <w:szCs w:val="22"/>
                    </w:rPr>
                  </w:pPr>
                  <w:r>
                    <w:rPr>
                      <w:rFonts w:ascii="仿宋" w:hAnsi="仿宋" w:eastAsia="仿宋" w:cs="仿宋"/>
                      <w:spacing w:val="-2"/>
                      <w:sz w:val="22"/>
                      <w:szCs w:val="22"/>
                    </w:rPr>
                    <w:t>病理性</w:t>
                  </w:r>
                  <w:r>
                    <w:rPr>
                      <w:rFonts w:ascii="宋体" w:hAnsi="宋体" w:eastAsia="宋体" w:cs="宋体"/>
                      <w:spacing w:val="-2"/>
                      <w:sz w:val="22"/>
                      <w:szCs w:val="22"/>
                    </w:rPr>
                    <w:t xml:space="preserve">Q </w:t>
                  </w:r>
                  <w:r>
                    <w:rPr>
                      <w:rFonts w:ascii="仿宋" w:hAnsi="仿宋" w:eastAsia="仿宋" w:cs="仿宋"/>
                      <w:spacing w:val="-2"/>
                      <w:sz w:val="22"/>
                      <w:szCs w:val="22"/>
                    </w:rPr>
                    <w:t>波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15"/>
          <w:w w:val="99"/>
          <w:position w:val="-3"/>
          <w:sz w:val="22"/>
          <w:szCs w:val="22"/>
        </w:rPr>
        <w:t>L</w:t>
      </w:r>
      <w:r>
        <w:rPr>
          <w:rFonts w:ascii="Times New Roman" w:hAnsi="Times New Roman" w:eastAsia="Times New Roman" w:cs="Times New Roman"/>
          <w:spacing w:val="5"/>
          <w:position w:val="-3"/>
          <w:sz w:val="22"/>
          <w:szCs w:val="22"/>
        </w:rPr>
        <w:t xml:space="preserve">   </w:t>
      </w:r>
      <w:r>
        <w:rPr>
          <w:rFonts w:ascii="Times New Roman" w:hAnsi="Times New Roman" w:eastAsia="Times New Roman" w:cs="Times New Roman"/>
          <w:spacing w:val="-15"/>
          <w:w w:val="99"/>
          <w:sz w:val="28"/>
          <w:szCs w:val="28"/>
        </w:rPr>
        <w:t>T</w:t>
      </w:r>
      <w:r>
        <w:rPr>
          <w:rFonts w:ascii="黑体" w:hAnsi="黑体" w:eastAsia="黑体" w:cs="黑体"/>
          <w:spacing w:val="-15"/>
          <w:w w:val="99"/>
          <w:sz w:val="28"/>
          <w:szCs w:val="28"/>
        </w:rPr>
        <w:t>波</w:t>
      </w:r>
      <w:r>
        <w:rPr>
          <w:rFonts w:ascii="黑体" w:hAnsi="黑体" w:eastAsia="黑体" w:cs="黑体"/>
          <w:spacing w:val="2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19"/>
          <w:sz w:val="22"/>
          <w:szCs w:val="22"/>
        </w:rPr>
        <w:t>倒置</w:t>
      </w:r>
    </w:p>
    <w:p w14:paraId="06B0998D">
      <w:pPr>
        <w:spacing w:line="222" w:lineRule="auto"/>
        <w:ind w:left="2873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3"/>
          <w:sz w:val="22"/>
          <w:szCs w:val="22"/>
        </w:rPr>
        <w:t>损伤</w:t>
      </w:r>
    </w:p>
    <w:p w14:paraId="53D8E5CF">
      <w:pPr>
        <w:pStyle w:val="2"/>
        <w:spacing w:line="266" w:lineRule="auto"/>
      </w:pPr>
    </w:p>
    <w:p w14:paraId="3FDB938F">
      <w:pPr>
        <w:pStyle w:val="2"/>
        <w:spacing w:line="266" w:lineRule="auto"/>
      </w:pPr>
    </w:p>
    <w:p w14:paraId="4E48318B">
      <w:pPr>
        <w:spacing w:line="2071" w:lineRule="exact"/>
        <w:ind w:firstLine="883"/>
      </w:pPr>
      <w:r>
        <w:rPr>
          <w:position w:val="-41"/>
        </w:rPr>
        <w:drawing>
          <wp:inline distT="0" distB="0" distL="0" distR="0">
            <wp:extent cx="3231515" cy="13144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2134" cy="131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F84E9">
      <w:pPr>
        <w:pStyle w:val="2"/>
        <w:spacing w:line="478" w:lineRule="auto"/>
      </w:pPr>
    </w:p>
    <w:p w14:paraId="5C691FE6">
      <w:pPr>
        <w:spacing w:before="104" w:line="221" w:lineRule="auto"/>
        <w:ind w:left="224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心电图可以明确心肌梗死的部位</w:t>
      </w:r>
    </w:p>
    <w:p w14:paraId="1199659B">
      <w:pPr>
        <w:spacing w:before="212" w:line="349" w:lineRule="auto"/>
        <w:ind w:left="23" w:right="41" w:firstLine="480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3"/>
          <w:sz w:val="28"/>
          <w:szCs w:val="28"/>
        </w:rPr>
        <w:t>急性心肌梗死在心电图的主要表现为</w:t>
      </w:r>
      <w:r>
        <w:rPr>
          <w:rFonts w:ascii="Times New Roman" w:hAnsi="Times New Roman" w:eastAsia="Times New Roman" w:cs="Times New Roman"/>
          <w:sz w:val="28"/>
          <w:szCs w:val="28"/>
        </w:rPr>
        <w:t>ST</w:t>
      </w:r>
      <w:r>
        <w:rPr>
          <w:rFonts w:ascii="Times New Roman" w:hAnsi="Times New Roman" w:eastAsia="Times New Roman" w:cs="Times New Roman"/>
          <w:spacing w:val="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"/>
          <w:sz w:val="28"/>
          <w:szCs w:val="28"/>
        </w:rPr>
        <w:t>段变化，主要是抬高，</w:t>
      </w:r>
      <w:r>
        <w:rPr>
          <w:rFonts w:ascii="宋体" w:hAnsi="宋体" w:eastAsia="宋体" w:cs="宋体"/>
          <w:spacing w:val="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4"/>
          <w:sz w:val="28"/>
          <w:szCs w:val="28"/>
        </w:rPr>
        <w:t>其次是T</w:t>
      </w:r>
      <w:r>
        <w:rPr>
          <w:rFonts w:ascii="宋体" w:hAnsi="宋体" w:eastAsia="宋体" w:cs="宋体"/>
          <w:spacing w:val="-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4"/>
          <w:sz w:val="28"/>
          <w:szCs w:val="28"/>
        </w:rPr>
        <w:t>波的高尖和倒置，最后是病理性Q</w:t>
      </w:r>
      <w:r>
        <w:rPr>
          <w:rFonts w:ascii="宋体" w:hAnsi="宋体" w:eastAsia="宋体" w:cs="宋体"/>
          <w:spacing w:val="-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4"/>
          <w:sz w:val="28"/>
          <w:szCs w:val="28"/>
        </w:rPr>
        <w:t>波的形成。</w:t>
      </w:r>
      <w:r>
        <w:rPr>
          <w:rFonts w:ascii="宋体" w:hAnsi="宋体" w:eastAsia="宋体" w:cs="宋体"/>
          <w:spacing w:val="3"/>
          <w:sz w:val="28"/>
          <w:szCs w:val="28"/>
        </w:rPr>
        <w:t>其中，</w:t>
      </w:r>
      <w:r>
        <w:rPr>
          <w:rFonts w:ascii="宋体" w:hAnsi="宋体" w:eastAsia="宋体" w:cs="宋体"/>
          <w:sz w:val="28"/>
          <w:szCs w:val="28"/>
        </w:rPr>
        <w:t>ST</w:t>
      </w:r>
      <w:r>
        <w:rPr>
          <w:rFonts w:ascii="宋体" w:hAnsi="宋体" w:eastAsia="宋体" w:cs="宋体"/>
          <w:spacing w:val="-4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"/>
          <w:sz w:val="28"/>
          <w:szCs w:val="28"/>
        </w:rPr>
        <w:t>段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8"/>
          <w:sz w:val="28"/>
          <w:szCs w:val="28"/>
        </w:rPr>
        <w:t>的变化最有意义，并依此分为</w:t>
      </w:r>
      <w:r>
        <w:rPr>
          <w:rFonts w:ascii="宋体" w:hAnsi="宋体" w:eastAsia="宋体" w:cs="宋体"/>
          <w:sz w:val="28"/>
          <w:szCs w:val="28"/>
        </w:rPr>
        <w:t>ST</w:t>
      </w:r>
      <w:r>
        <w:rPr>
          <w:rFonts w:ascii="宋体" w:hAnsi="宋体" w:eastAsia="宋体" w:cs="宋体"/>
          <w:spacing w:val="-2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8"/>
          <w:sz w:val="28"/>
          <w:szCs w:val="28"/>
        </w:rPr>
        <w:t>段抬高型心肌梗死(</w:t>
      </w:r>
      <w:r>
        <w:rPr>
          <w:rFonts w:ascii="宋体" w:hAnsi="宋体" w:eastAsia="宋体" w:cs="宋体"/>
          <w:sz w:val="28"/>
          <w:szCs w:val="28"/>
        </w:rPr>
        <w:t>STEMI</w:t>
      </w:r>
      <w:r>
        <w:rPr>
          <w:rFonts w:ascii="宋体" w:hAnsi="宋体" w:eastAsia="宋体" w:cs="宋体"/>
          <w:spacing w:val="8"/>
          <w:sz w:val="28"/>
          <w:szCs w:val="28"/>
        </w:rPr>
        <w:t>)</w:t>
      </w:r>
      <w:r>
        <w:rPr>
          <w:rFonts w:ascii="宋体" w:hAnsi="宋体" w:eastAsia="宋体" w:cs="宋体"/>
          <w:spacing w:val="11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8"/>
          <w:sz w:val="28"/>
          <w:szCs w:val="28"/>
        </w:rPr>
        <w:t>和非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ST</w:t>
      </w:r>
      <w:r>
        <w:rPr>
          <w:rFonts w:ascii="Times New Roman" w:hAnsi="Times New Roman" w:eastAsia="Times New Roman" w:cs="Times New Roman"/>
          <w:spacing w:val="-2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段抬高型心肌梗死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(NSTEMI), </w:t>
      </w:r>
      <w:r>
        <w:rPr>
          <w:rFonts w:ascii="宋体" w:hAnsi="宋体" w:eastAsia="宋体" w:cs="宋体"/>
          <w:spacing w:val="-5"/>
          <w:sz w:val="28"/>
          <w:szCs w:val="28"/>
        </w:rPr>
        <w:t>在此，我们主要讨论心电图在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>STEMI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定位诊断及其意义。</w:t>
      </w:r>
    </w:p>
    <w:p w14:paraId="63F535E9">
      <w:pPr>
        <w:spacing w:before="287" w:line="188" w:lineRule="auto"/>
        <w:ind w:left="2513"/>
        <w:rPr>
          <w:rFonts w:ascii="Times New Roman" w:hAnsi="Times New Roman" w:eastAsia="Times New Roman" w:cs="Times New Roman"/>
          <w:sz w:val="85"/>
          <w:szCs w:val="85"/>
        </w:rPr>
      </w:pPr>
      <w:r>
        <w:rPr>
          <w:rFonts w:ascii="Times New Roman" w:hAnsi="Times New Roman" w:eastAsia="Times New Roman" w:cs="Times New Roman"/>
          <w:b/>
          <w:bCs/>
          <w:spacing w:val="-27"/>
          <w:sz w:val="85"/>
          <w:szCs w:val="85"/>
        </w:rPr>
        <w:t>NSTEMI</w:t>
      </w:r>
    </w:p>
    <w:p w14:paraId="42546919">
      <w:pPr>
        <w:pStyle w:val="2"/>
        <w:spacing w:line="329" w:lineRule="auto"/>
      </w:pPr>
    </w:p>
    <w:p w14:paraId="255D82D8">
      <w:pPr>
        <w:pStyle w:val="2"/>
        <w:spacing w:line="330" w:lineRule="auto"/>
      </w:pPr>
    </w:p>
    <w:p w14:paraId="415FF32B">
      <w:pPr>
        <w:pStyle w:val="2"/>
        <w:spacing w:before="55" w:line="199" w:lineRule="auto"/>
        <w:ind w:left="3633"/>
        <w:rPr>
          <w:sz w:val="19"/>
          <w:szCs w:val="19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992505</wp:posOffset>
            </wp:positionH>
            <wp:positionV relativeFrom="paragraph">
              <wp:posOffset>-396240</wp:posOffset>
            </wp:positionV>
            <wp:extent cx="3213100" cy="32194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3076" cy="3219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19"/>
          <w:szCs w:val="19"/>
        </w:rPr>
        <w:t>QRS</w:t>
      </w:r>
    </w:p>
    <w:p w14:paraId="79B3B961">
      <w:pPr>
        <w:pStyle w:val="2"/>
        <w:spacing w:before="17" w:line="191" w:lineRule="exact"/>
        <w:ind w:left="3633"/>
        <w:rPr>
          <w:sz w:val="14"/>
          <w:szCs w:val="14"/>
        </w:rPr>
      </w:pPr>
      <w:r>
        <w:rPr>
          <w:spacing w:val="-1"/>
          <w:position w:val="2"/>
          <w:sz w:val="14"/>
          <w:szCs w:val="14"/>
        </w:rPr>
        <w:t>complex</w:t>
      </w:r>
    </w:p>
    <w:p w14:paraId="07EF3662">
      <w:pPr>
        <w:pStyle w:val="2"/>
        <w:spacing w:line="436" w:lineRule="auto"/>
      </w:pPr>
    </w:p>
    <w:p w14:paraId="5C1BDD1E">
      <w:pPr>
        <w:pStyle w:val="2"/>
        <w:spacing w:before="64" w:line="196" w:lineRule="auto"/>
        <w:ind w:left="3253"/>
        <w:rPr>
          <w:sz w:val="22"/>
          <w:szCs w:val="22"/>
        </w:rPr>
      </w:pPr>
      <w:r>
        <w:rPr>
          <w:spacing w:val="-5"/>
          <w:sz w:val="22"/>
          <w:szCs w:val="22"/>
        </w:rPr>
        <w:t>PR</w:t>
      </w:r>
    </w:p>
    <w:p w14:paraId="63615F72">
      <w:pPr>
        <w:spacing w:before="14" w:line="158" w:lineRule="auto"/>
        <w:ind w:left="3113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pacing w:val="-8"/>
          <w:w w:val="97"/>
          <w:sz w:val="22"/>
          <w:szCs w:val="22"/>
        </w:rPr>
        <w:t>segment</w:t>
      </w:r>
    </w:p>
    <w:p w14:paraId="4582B92A">
      <w:pPr>
        <w:pStyle w:val="2"/>
        <w:spacing w:line="185" w:lineRule="auto"/>
        <w:ind w:left="4203"/>
        <w:rPr>
          <w:sz w:val="22"/>
          <w:szCs w:val="22"/>
        </w:rPr>
      </w:pPr>
      <w:r>
        <w:rPr>
          <w:spacing w:val="-3"/>
          <w:sz w:val="22"/>
          <w:szCs w:val="22"/>
        </w:rPr>
        <w:t>ST</w:t>
      </w:r>
      <w:r>
        <w:rPr>
          <w:spacing w:val="5"/>
          <w:sz w:val="22"/>
          <w:szCs w:val="22"/>
        </w:rPr>
        <w:t xml:space="preserve">       </w:t>
      </w:r>
      <w:r>
        <w:rPr>
          <w:spacing w:val="-3"/>
          <w:sz w:val="22"/>
          <w:szCs w:val="22"/>
        </w:rPr>
        <w:t>Depression</w:t>
      </w:r>
    </w:p>
    <w:p w14:paraId="01E1D326">
      <w:pPr>
        <w:pStyle w:val="2"/>
        <w:spacing w:line="312" w:lineRule="auto"/>
      </w:pPr>
    </w:p>
    <w:p w14:paraId="21F4E9E3">
      <w:pPr>
        <w:pStyle w:val="2"/>
        <w:spacing w:before="64" w:line="196" w:lineRule="auto"/>
        <w:ind w:left="2953"/>
        <w:rPr>
          <w:sz w:val="22"/>
          <w:szCs w:val="22"/>
        </w:rPr>
      </w:pPr>
      <w:r>
        <w:rPr>
          <w:sz w:val="22"/>
          <w:szCs w:val="22"/>
        </w:rPr>
        <w:t>P</w:t>
      </w:r>
    </w:p>
    <w:p w14:paraId="6E6792C2">
      <w:pPr>
        <w:pStyle w:val="2"/>
        <w:spacing w:before="5" w:line="169" w:lineRule="auto"/>
        <w:ind w:left="2823"/>
        <w:rPr>
          <w:sz w:val="16"/>
          <w:szCs w:val="16"/>
        </w:rPr>
      </w:pPr>
      <w:r>
        <w:rPr>
          <w:sz w:val="16"/>
          <w:szCs w:val="16"/>
        </w:rPr>
        <w:t>wave                                  wave</w:t>
      </w:r>
    </w:p>
    <w:p w14:paraId="3E55944B">
      <w:pPr>
        <w:pStyle w:val="2"/>
        <w:spacing w:line="295" w:lineRule="auto"/>
      </w:pPr>
    </w:p>
    <w:p w14:paraId="42A67D72">
      <w:pPr>
        <w:pStyle w:val="2"/>
        <w:spacing w:line="295" w:lineRule="auto"/>
      </w:pPr>
    </w:p>
    <w:p w14:paraId="29473273">
      <w:pPr>
        <w:pStyle w:val="2"/>
        <w:spacing w:line="295" w:lineRule="auto"/>
      </w:pPr>
    </w:p>
    <w:p w14:paraId="69FC25A2">
      <w:pPr>
        <w:spacing w:before="93" w:line="182" w:lineRule="auto"/>
        <w:ind w:left="3553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I</w:t>
      </w:r>
    </w:p>
    <w:p w14:paraId="3913F07C">
      <w:pPr>
        <w:pStyle w:val="2"/>
        <w:spacing w:line="195" w:lineRule="auto"/>
        <w:ind w:left="2983"/>
        <w:rPr>
          <w:sz w:val="16"/>
          <w:szCs w:val="16"/>
        </w:rPr>
      </w:pPr>
      <w:r>
        <w:pict>
          <v:shape id="_x0000_s1028" o:spid="_x0000_s1028" o:spt="202" type="#_x0000_t202" style="position:absolute;left:0pt;margin-left:200.15pt;margin-top:-5.45pt;height:27.2pt;width:25.7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D7C0723">
                  <w:pPr>
                    <w:pStyle w:val="2"/>
                    <w:spacing w:before="19" w:line="267" w:lineRule="auto"/>
                    <w:ind w:left="20" w:right="20" w:firstLine="99"/>
                    <w:rPr>
                      <w:sz w:val="15"/>
                      <w:szCs w:val="15"/>
                    </w:rPr>
                  </w:pPr>
                  <w:r>
                    <w:rPr>
                      <w:spacing w:val="-6"/>
                      <w:sz w:val="26"/>
                      <w:szCs w:val="26"/>
                    </w:rPr>
                    <w:t>QT</w:t>
                  </w:r>
                  <w:r>
                    <w:rPr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-2"/>
                      <w:sz w:val="15"/>
                      <w:szCs w:val="15"/>
                    </w:rPr>
                    <w:t>interval</w:t>
                  </w:r>
                </w:p>
              </w:txbxContent>
            </v:textbox>
          </v:shape>
        </w:pict>
      </w:r>
      <w:r>
        <w:rPr>
          <w:spacing w:val="-4"/>
          <w:sz w:val="16"/>
          <w:szCs w:val="16"/>
        </w:rPr>
        <w:t>PR</w:t>
      </w:r>
    </w:p>
    <w:p w14:paraId="1AF75818">
      <w:pPr>
        <w:pStyle w:val="2"/>
        <w:spacing w:before="82" w:line="136" w:lineRule="exact"/>
        <w:ind w:left="2903"/>
        <w:rPr>
          <w:sz w:val="10"/>
          <w:szCs w:val="10"/>
        </w:rPr>
      </w:pPr>
      <w:r>
        <w:rPr>
          <w:spacing w:val="-1"/>
          <w:position w:val="1"/>
          <w:sz w:val="10"/>
          <w:szCs w:val="10"/>
        </w:rPr>
        <w:t>interval</w:t>
      </w:r>
    </w:p>
    <w:p w14:paraId="4100AC57">
      <w:pPr>
        <w:spacing w:line="136" w:lineRule="exact"/>
        <w:rPr>
          <w:sz w:val="10"/>
          <w:szCs w:val="10"/>
        </w:rPr>
        <w:sectPr>
          <w:headerReference r:id="rId5" w:type="default"/>
          <w:pgSz w:w="11910" w:h="16840"/>
          <w:pgMar w:top="400" w:right="1786" w:bottom="0" w:left="1786" w:header="0" w:footer="0" w:gutter="0"/>
          <w:cols w:space="720" w:num="1"/>
        </w:sectPr>
      </w:pPr>
    </w:p>
    <w:p w14:paraId="0B803649">
      <w:pPr>
        <w:pStyle w:val="2"/>
        <w:spacing w:line="309" w:lineRule="auto"/>
      </w:pPr>
    </w:p>
    <w:p w14:paraId="4428B25E">
      <w:pPr>
        <w:pStyle w:val="2"/>
        <w:spacing w:line="309" w:lineRule="auto"/>
      </w:pPr>
    </w:p>
    <w:p w14:paraId="53378ECB">
      <w:pPr>
        <w:pStyle w:val="2"/>
        <w:spacing w:line="309" w:lineRule="auto"/>
      </w:pPr>
    </w:p>
    <w:p w14:paraId="22C235AD">
      <w:pPr>
        <w:spacing w:before="308" w:line="188" w:lineRule="auto"/>
        <w:ind w:left="2149"/>
        <w:rPr>
          <w:rFonts w:ascii="Times New Roman" w:hAnsi="Times New Roman" w:eastAsia="Times New Roman" w:cs="Times New Roman"/>
          <w:sz w:val="107"/>
          <w:szCs w:val="107"/>
        </w:rPr>
      </w:pPr>
      <w:r>
        <w:rPr>
          <w:rFonts w:ascii="Times New Roman" w:hAnsi="Times New Roman" w:eastAsia="Times New Roman" w:cs="Times New Roman"/>
          <w:b/>
          <w:bCs/>
          <w:spacing w:val="-38"/>
          <w:sz w:val="107"/>
          <w:szCs w:val="107"/>
        </w:rPr>
        <w:t>STEMI</w:t>
      </w:r>
    </w:p>
    <w:p w14:paraId="297B0AA2">
      <w:pPr>
        <w:pStyle w:val="2"/>
        <w:spacing w:line="298" w:lineRule="auto"/>
      </w:pPr>
    </w:p>
    <w:p w14:paraId="732DE3A8">
      <w:pPr>
        <w:pStyle w:val="2"/>
        <w:spacing w:line="299" w:lineRule="auto"/>
      </w:pPr>
    </w:p>
    <w:p w14:paraId="60ED85D6">
      <w:pPr>
        <w:pStyle w:val="2"/>
        <w:spacing w:line="299" w:lineRule="auto"/>
      </w:pPr>
    </w:p>
    <w:p w14:paraId="73F2CB9C">
      <w:pPr>
        <w:pStyle w:val="2"/>
        <w:spacing w:before="80" w:line="199" w:lineRule="auto"/>
        <w:ind w:left="3160"/>
        <w:rPr>
          <w:sz w:val="28"/>
          <w:szCs w:val="2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393700</wp:posOffset>
            </wp:positionH>
            <wp:positionV relativeFrom="paragraph">
              <wp:posOffset>-543560</wp:posOffset>
            </wp:positionV>
            <wp:extent cx="3987800" cy="39751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87815" cy="397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8"/>
          <w:szCs w:val="28"/>
        </w:rPr>
        <w:t>QRS</w:t>
      </w:r>
    </w:p>
    <w:p w14:paraId="699FE4E6">
      <w:pPr>
        <w:pStyle w:val="2"/>
        <w:spacing w:before="8" w:line="273" w:lineRule="exact"/>
        <w:ind w:left="3160"/>
        <w:rPr>
          <w:sz w:val="20"/>
          <w:szCs w:val="20"/>
        </w:rPr>
      </w:pPr>
      <w:r>
        <w:rPr>
          <w:spacing w:val="-1"/>
          <w:position w:val="3"/>
          <w:sz w:val="20"/>
          <w:szCs w:val="20"/>
        </w:rPr>
        <w:t>complex</w:t>
      </w:r>
    </w:p>
    <w:p w14:paraId="414DBB80">
      <w:pPr>
        <w:pStyle w:val="2"/>
        <w:spacing w:line="249" w:lineRule="auto"/>
      </w:pPr>
    </w:p>
    <w:p w14:paraId="45947666">
      <w:pPr>
        <w:pStyle w:val="2"/>
        <w:spacing w:line="250" w:lineRule="auto"/>
      </w:pPr>
    </w:p>
    <w:p w14:paraId="43DB53B7">
      <w:pPr>
        <w:pStyle w:val="2"/>
        <w:spacing w:before="95" w:line="192" w:lineRule="auto"/>
        <w:ind w:left="2650"/>
        <w:rPr>
          <w:sz w:val="33"/>
          <w:szCs w:val="33"/>
        </w:rPr>
      </w:pPr>
      <w:r>
        <w:rPr>
          <w:spacing w:val="-4"/>
          <w:position w:val="1"/>
          <w:sz w:val="28"/>
          <w:szCs w:val="28"/>
        </w:rPr>
        <w:t>PR</w:t>
      </w:r>
      <w:r>
        <w:rPr>
          <w:spacing w:val="2"/>
          <w:position w:val="1"/>
          <w:sz w:val="28"/>
          <w:szCs w:val="28"/>
        </w:rPr>
        <w:t xml:space="preserve">               </w:t>
      </w:r>
      <w:r>
        <w:rPr>
          <w:spacing w:val="-4"/>
          <w:sz w:val="33"/>
          <w:szCs w:val="33"/>
        </w:rPr>
        <w:t>ST   Elevation</w:t>
      </w:r>
    </w:p>
    <w:p w14:paraId="448BA185">
      <w:pPr>
        <w:pStyle w:val="2"/>
        <w:spacing w:line="192" w:lineRule="auto"/>
        <w:ind w:left="2480"/>
        <w:rPr>
          <w:sz w:val="20"/>
          <w:szCs w:val="20"/>
        </w:rPr>
      </w:pPr>
      <w:r>
        <w:rPr>
          <w:spacing w:val="-1"/>
          <w:sz w:val="20"/>
          <w:szCs w:val="20"/>
        </w:rPr>
        <w:t>segment</w:t>
      </w:r>
    </w:p>
    <w:p w14:paraId="4C8740AB">
      <w:pPr>
        <w:pStyle w:val="2"/>
        <w:spacing w:line="263" w:lineRule="auto"/>
      </w:pPr>
    </w:p>
    <w:p w14:paraId="079EA220">
      <w:pPr>
        <w:pStyle w:val="2"/>
        <w:spacing w:line="264" w:lineRule="auto"/>
      </w:pPr>
    </w:p>
    <w:p w14:paraId="7E3E593B">
      <w:pPr>
        <w:pStyle w:val="2"/>
        <w:spacing w:line="264" w:lineRule="auto"/>
      </w:pPr>
    </w:p>
    <w:p w14:paraId="3EAF8229">
      <w:pPr>
        <w:pStyle w:val="2"/>
        <w:spacing w:line="264" w:lineRule="auto"/>
      </w:pPr>
    </w:p>
    <w:p w14:paraId="23A8255E">
      <w:pPr>
        <w:pStyle w:val="2"/>
        <w:spacing w:before="58" w:line="150" w:lineRule="exact"/>
        <w:ind w:left="2110"/>
        <w:rPr>
          <w:sz w:val="20"/>
          <w:szCs w:val="20"/>
        </w:rPr>
      </w:pPr>
      <w:r>
        <w:rPr>
          <w:spacing w:val="-1"/>
          <w:position w:val="-1"/>
          <w:sz w:val="20"/>
          <w:szCs w:val="20"/>
        </w:rPr>
        <w:t>wave</w:t>
      </w:r>
    </w:p>
    <w:p w14:paraId="7404EF05">
      <w:pPr>
        <w:pStyle w:val="2"/>
        <w:spacing w:line="329" w:lineRule="auto"/>
      </w:pPr>
    </w:p>
    <w:p w14:paraId="212088BB">
      <w:pPr>
        <w:pStyle w:val="2"/>
        <w:spacing w:line="330" w:lineRule="auto"/>
      </w:pPr>
    </w:p>
    <w:p w14:paraId="71C6CE8F">
      <w:pPr>
        <w:pStyle w:val="2"/>
        <w:spacing w:before="118" w:line="196" w:lineRule="auto"/>
        <w:ind w:left="2959"/>
        <w:rPr>
          <w:sz w:val="41"/>
          <w:szCs w:val="41"/>
        </w:rPr>
      </w:pPr>
      <w:r>
        <w:rPr>
          <w:sz w:val="41"/>
          <w:szCs w:val="41"/>
        </w:rPr>
        <w:t>I</w:t>
      </w:r>
    </w:p>
    <w:p w14:paraId="4888874E">
      <w:pPr>
        <w:pStyle w:val="2"/>
        <w:spacing w:line="207" w:lineRule="auto"/>
        <w:ind w:left="2200" w:right="5578" w:firstLine="120"/>
        <w:rPr>
          <w:sz w:val="20"/>
          <w:szCs w:val="20"/>
        </w:rPr>
      </w:pPr>
      <w:r>
        <w:pict>
          <v:shape id="_x0000_s1029" o:spid="_x0000_s1029" o:spt="202" type="#_x0000_t202" style="position:absolute;left:0pt;margin-left:180pt;margin-top:-3.9pt;height:28.75pt;width:33.6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8F7FA5F">
                  <w:pPr>
                    <w:pStyle w:val="2"/>
                    <w:spacing w:before="19" w:line="211" w:lineRule="auto"/>
                    <w:ind w:left="20" w:right="20" w:firstLine="120"/>
                    <w:rPr>
                      <w:sz w:val="20"/>
                      <w:szCs w:val="20"/>
                    </w:rPr>
                  </w:pPr>
                  <w:r>
                    <w:rPr>
                      <w:spacing w:val="-8"/>
                      <w:sz w:val="33"/>
                      <w:szCs w:val="33"/>
                    </w:rPr>
                    <w:t>QT</w:t>
                  </w:r>
                  <w:r>
                    <w:rPr>
                      <w:sz w:val="33"/>
                      <w:szCs w:val="33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interval</w:t>
                  </w:r>
                </w:p>
              </w:txbxContent>
            </v:textbox>
          </v:shape>
        </w:pict>
      </w:r>
      <w:r>
        <w:rPr>
          <w:spacing w:val="-11"/>
          <w:sz w:val="28"/>
          <w:szCs w:val="28"/>
        </w:rPr>
        <w:t>PR</w:t>
      </w:r>
      <w:r>
        <w:rPr>
          <w:sz w:val="28"/>
          <w:szCs w:val="28"/>
        </w:rPr>
        <w:t xml:space="preserve">   </w:t>
      </w:r>
      <w:r>
        <w:rPr>
          <w:spacing w:val="-2"/>
          <w:sz w:val="20"/>
          <w:szCs w:val="20"/>
        </w:rPr>
        <w:t>interval</w:t>
      </w:r>
    </w:p>
    <w:p w14:paraId="5623A00E">
      <w:pPr>
        <w:pStyle w:val="2"/>
        <w:spacing w:line="297" w:lineRule="auto"/>
      </w:pPr>
    </w:p>
    <w:p w14:paraId="616EBFA0">
      <w:pPr>
        <w:pStyle w:val="2"/>
        <w:spacing w:line="297" w:lineRule="auto"/>
      </w:pPr>
    </w:p>
    <w:p w14:paraId="2F8444C4">
      <w:pPr>
        <w:pStyle w:val="2"/>
        <w:spacing w:line="298" w:lineRule="auto"/>
      </w:pPr>
    </w:p>
    <w:p w14:paraId="7F8F1CB3">
      <w:pPr>
        <w:tabs>
          <w:tab w:val="left" w:pos="170"/>
        </w:tabs>
        <w:spacing w:before="91" w:line="356" w:lineRule="auto"/>
        <w:ind w:right="101" w:firstLine="580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根据心电图导联出现</w:t>
      </w:r>
      <w:r>
        <w:rPr>
          <w:rFonts w:ascii="宋体" w:hAnsi="宋体" w:eastAsia="宋体" w:cs="宋体"/>
          <w:spacing w:val="-7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ST</w:t>
      </w:r>
      <w:r>
        <w:rPr>
          <w:rFonts w:ascii="Times New Roman" w:hAnsi="Times New Roman" w:eastAsia="Times New Roman" w:cs="Times New Roman"/>
          <w:spacing w:val="-18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 xml:space="preserve">段抬高的部位，可分为前间壁心肌梗死 </w:t>
      </w: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(V1-V3</w:t>
      </w:r>
      <w:r>
        <w:rPr>
          <w:rFonts w:ascii="宋体" w:hAnsi="宋体" w:eastAsia="宋体" w:cs="宋体"/>
          <w:spacing w:val="-4"/>
          <w:sz w:val="28"/>
          <w:szCs w:val="28"/>
        </w:rPr>
        <w:t>导联)、前壁心肌梗死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(V3-V5 </w:t>
      </w:r>
      <w:r>
        <w:rPr>
          <w:rFonts w:ascii="宋体" w:hAnsi="宋体" w:eastAsia="宋体" w:cs="宋体"/>
          <w:spacing w:val="-4"/>
          <w:sz w:val="28"/>
          <w:szCs w:val="28"/>
        </w:rPr>
        <w:t>导联)、前侧壁心肌梗死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(V5-V7</w:t>
      </w:r>
      <w:r>
        <w:rPr>
          <w:rFonts w:ascii="Times New Roman" w:hAnsi="Times New Roman" w:eastAsia="Times New Roman" w:cs="Times New Roman"/>
          <w:spacing w:val="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5"/>
          <w:sz w:val="28"/>
          <w:szCs w:val="28"/>
        </w:rPr>
        <w:t>导联)、广泛前壁心肌梗死</w:t>
      </w:r>
      <w:r>
        <w:rPr>
          <w:rFonts w:ascii="宋体" w:hAnsi="宋体" w:eastAsia="宋体" w:cs="宋体"/>
          <w:spacing w:val="-5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(V1-V5</w:t>
      </w:r>
      <w:r>
        <w:rPr>
          <w:rFonts w:ascii="Times New Roman" w:hAnsi="Times New Roman" w:eastAsia="Times New Roman" w:cs="Times New Roman"/>
          <w:spacing w:val="-4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5"/>
          <w:sz w:val="28"/>
          <w:szCs w:val="28"/>
        </w:rPr>
        <w:t>、</w:t>
      </w:r>
      <w:r>
        <w:rPr>
          <w:rFonts w:ascii="Times New Roman" w:hAnsi="Times New Roman" w:eastAsia="Times New Roman" w:cs="Times New Roman"/>
          <w:sz w:val="28"/>
          <w:szCs w:val="28"/>
        </w:rPr>
        <w:t>aVL</w:t>
      </w:r>
      <w:r>
        <w:rPr>
          <w:rFonts w:ascii="Times New Roman" w:hAnsi="Times New Roman" w:eastAsia="Times New Roman" w:cs="Times New Roman"/>
          <w:spacing w:val="-4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5"/>
          <w:sz w:val="28"/>
          <w:szCs w:val="28"/>
        </w:rPr>
        <w:t>、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I</w:t>
      </w:r>
      <w:r>
        <w:rPr>
          <w:rFonts w:ascii="Times New Roman" w:hAnsi="Times New Roman" w:eastAsia="Times New Roman" w:cs="Times New Roman"/>
          <w:spacing w:val="-1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5"/>
          <w:sz w:val="28"/>
          <w:szCs w:val="28"/>
        </w:rPr>
        <w:t>导联)、高侧壁心肌梗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0"/>
          <w:sz w:val="28"/>
          <w:szCs w:val="28"/>
        </w:rPr>
        <w:t xml:space="preserve">死 </w:t>
      </w:r>
      <w:r>
        <w:rPr>
          <w:rFonts w:ascii="Times New Roman" w:hAnsi="Times New Roman" w:eastAsia="Times New Roman" w:cs="Times New Roman"/>
          <w:spacing w:val="10"/>
          <w:sz w:val="28"/>
          <w:szCs w:val="28"/>
        </w:rPr>
        <w:t>(</w:t>
      </w:r>
      <w:r>
        <w:rPr>
          <w:rFonts w:ascii="Times New Roman" w:hAnsi="Times New Roman" w:eastAsia="Times New Roman" w:cs="Times New Roman"/>
          <w:sz w:val="28"/>
          <w:szCs w:val="28"/>
        </w:rPr>
        <w:t>aVL</w:t>
      </w:r>
      <w:r>
        <w:rPr>
          <w:rFonts w:ascii="Times New Roman" w:hAnsi="Times New Roman" w:eastAsia="Times New Roman" w:cs="Times New Roman"/>
          <w:spacing w:val="-4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0"/>
          <w:sz w:val="28"/>
          <w:szCs w:val="28"/>
        </w:rPr>
        <w:t>、</w:t>
      </w:r>
      <w:r>
        <w:rPr>
          <w:rFonts w:ascii="Times New Roman" w:hAnsi="Times New Roman" w:eastAsia="Times New Roman" w:cs="Times New Roman"/>
          <w:spacing w:val="10"/>
          <w:sz w:val="28"/>
          <w:szCs w:val="28"/>
        </w:rPr>
        <w:t>I</w:t>
      </w:r>
      <w:r>
        <w:rPr>
          <w:rFonts w:ascii="Times New Roman" w:hAnsi="Times New Roman" w:eastAsia="Times New Roman" w:cs="Times New Roman"/>
          <w:spacing w:val="38"/>
          <w:w w:val="10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0"/>
          <w:sz w:val="28"/>
          <w:szCs w:val="28"/>
        </w:rPr>
        <w:t>导联)、下壁心肌梗死</w:t>
      </w:r>
      <w:r>
        <w:rPr>
          <w:rFonts w:ascii="宋体" w:hAnsi="宋体" w:eastAsia="宋体" w:cs="宋体"/>
          <w:spacing w:val="-6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28"/>
          <w:szCs w:val="28"/>
        </w:rPr>
        <w:t>(</w:t>
      </w:r>
      <w:r>
        <w:rPr>
          <w:rFonts w:ascii="Times New Roman" w:hAnsi="Times New Roman" w:eastAsia="Times New Roman" w:cs="Times New Roman"/>
          <w:sz w:val="28"/>
          <w:szCs w:val="28"/>
        </w:rPr>
        <w:t>II</w:t>
      </w:r>
      <w:r>
        <w:rPr>
          <w:rFonts w:ascii="Times New Roman" w:hAnsi="Times New Roman" w:eastAsia="Times New Roman" w:cs="Times New Roman"/>
          <w:spacing w:val="-4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0"/>
          <w:sz w:val="28"/>
          <w:szCs w:val="28"/>
        </w:rPr>
        <w:t>、</w:t>
      </w:r>
      <w:r>
        <w:rPr>
          <w:rFonts w:ascii="Times New Roman" w:hAnsi="Times New Roman" w:eastAsia="Times New Roman" w:cs="Times New Roman"/>
          <w:sz w:val="28"/>
          <w:szCs w:val="28"/>
        </w:rPr>
        <w:t>III</w:t>
      </w:r>
      <w:r>
        <w:rPr>
          <w:rFonts w:ascii="Times New Roman" w:hAnsi="Times New Roman" w:eastAsia="Times New Roman" w:cs="Times New Roman"/>
          <w:spacing w:val="-3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0"/>
          <w:sz w:val="28"/>
          <w:szCs w:val="28"/>
        </w:rPr>
        <w:t>、</w:t>
      </w:r>
      <w:r>
        <w:rPr>
          <w:rFonts w:ascii="Times New Roman" w:hAnsi="Times New Roman" w:eastAsia="Times New Roman" w:cs="Times New Roman"/>
          <w:sz w:val="28"/>
          <w:szCs w:val="28"/>
        </w:rPr>
        <w:t>aVF</w:t>
      </w:r>
      <w:r>
        <w:rPr>
          <w:rFonts w:ascii="Times New Roman" w:hAnsi="Times New Roman" w:eastAsia="Times New Roman" w:cs="Times New Roman"/>
          <w:spacing w:val="10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9"/>
          <w:sz w:val="28"/>
          <w:szCs w:val="28"/>
        </w:rPr>
        <w:t>导联)、后壁心</w:t>
      </w:r>
      <w:r>
        <w:rPr>
          <w:rFonts w:ascii="宋体" w:hAnsi="宋体" w:eastAsia="宋体" w:cs="宋体"/>
          <w:sz w:val="28"/>
          <w:szCs w:val="28"/>
        </w:rPr>
        <w:t xml:space="preserve"> 肌梗死 (V7-V9 导联)、右室心肌梗死</w:t>
      </w:r>
      <w:r>
        <w:rPr>
          <w:rFonts w:ascii="宋体" w:hAnsi="宋体" w:eastAsia="宋体" w:cs="宋体"/>
          <w:spacing w:val="-39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(V3R-V5R)。</w:t>
      </w:r>
    </w:p>
    <w:p w14:paraId="2D65CE2D">
      <w:pPr>
        <w:spacing w:before="1" w:line="344" w:lineRule="auto"/>
        <w:ind w:right="100" w:firstLine="580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一般来说，前壁心肌梗死的面积较大，单纯的下壁、后壁、高侧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壁的梗死面积较小。梗死累及的导联数越多，梗</w:t>
      </w:r>
      <w:r>
        <w:rPr>
          <w:rFonts w:ascii="宋体" w:hAnsi="宋体" w:eastAsia="宋体" w:cs="宋体"/>
          <w:spacing w:val="-4"/>
          <w:sz w:val="28"/>
          <w:szCs w:val="28"/>
        </w:rPr>
        <w:t>死范围就越大，病人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的预后也越差。</w:t>
      </w:r>
    </w:p>
    <w:p w14:paraId="7FDB5D41">
      <w:pPr>
        <w:spacing w:before="1" w:line="221" w:lineRule="auto"/>
        <w:ind w:left="290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5"/>
          <w:sz w:val="33"/>
          <w:szCs w:val="33"/>
        </w:rPr>
        <w:t>心电图与冠状动脉分布</w:t>
      </w:r>
    </w:p>
    <w:p w14:paraId="7D59CE9B">
      <w:pPr>
        <w:spacing w:before="199" w:line="357" w:lineRule="auto"/>
        <w:ind w:firstLine="58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正常冠状动脉分为左冠状动脉和右冠状动脉，前者又分</w:t>
      </w:r>
      <w:r>
        <w:rPr>
          <w:rFonts w:ascii="宋体" w:hAnsi="宋体" w:eastAsia="宋体" w:cs="宋体"/>
          <w:spacing w:val="-5"/>
          <w:sz w:val="28"/>
          <w:szCs w:val="28"/>
        </w:rPr>
        <w:t>为前降支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和回旋支。根据冠状动脉的分布特点又可分为右优势型</w:t>
      </w:r>
      <w:r>
        <w:rPr>
          <w:rFonts w:ascii="宋体" w:hAnsi="宋体" w:eastAsia="宋体" w:cs="宋体"/>
          <w:spacing w:val="-5"/>
          <w:sz w:val="28"/>
          <w:szCs w:val="28"/>
        </w:rPr>
        <w:t>(左室后间隔、</w:t>
      </w:r>
    </w:p>
    <w:p w14:paraId="3CE4BF99">
      <w:pPr>
        <w:spacing w:line="357" w:lineRule="auto"/>
        <w:rPr>
          <w:rFonts w:ascii="宋体" w:hAnsi="宋体" w:eastAsia="宋体" w:cs="宋体"/>
          <w:sz w:val="28"/>
          <w:szCs w:val="28"/>
        </w:rPr>
        <w:sectPr>
          <w:headerReference r:id="rId6" w:type="default"/>
          <w:pgSz w:w="11910" w:h="16840"/>
          <w:pgMar w:top="400" w:right="1719" w:bottom="0" w:left="1779" w:header="0" w:footer="0" w:gutter="0"/>
          <w:cols w:space="720" w:num="1"/>
        </w:sectPr>
      </w:pPr>
    </w:p>
    <w:p w14:paraId="366CD078">
      <w:pPr>
        <w:pStyle w:val="2"/>
        <w:spacing w:line="284" w:lineRule="auto"/>
      </w:pPr>
    </w:p>
    <w:p w14:paraId="35E65A39">
      <w:pPr>
        <w:pStyle w:val="2"/>
        <w:spacing w:line="284" w:lineRule="auto"/>
      </w:pPr>
    </w:p>
    <w:p w14:paraId="55489B78">
      <w:pPr>
        <w:pStyle w:val="2"/>
        <w:spacing w:line="284" w:lineRule="auto"/>
      </w:pPr>
    </w:p>
    <w:p w14:paraId="487444F3">
      <w:pPr>
        <w:pStyle w:val="2"/>
        <w:spacing w:line="284" w:lineRule="auto"/>
      </w:pPr>
    </w:p>
    <w:p w14:paraId="22703072">
      <w:pPr>
        <w:spacing w:before="88" w:line="370" w:lineRule="auto"/>
        <w:ind w:left="13" w:right="91"/>
        <w:jc w:val="both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5"/>
          <w:sz w:val="27"/>
          <w:szCs w:val="27"/>
        </w:rPr>
        <w:t>下壁由右冠状动脉供血)、左优势型(左室后间隔、下壁由左冠</w:t>
      </w:r>
      <w:r>
        <w:rPr>
          <w:rFonts w:ascii="宋体" w:hAnsi="宋体" w:eastAsia="宋体" w:cs="宋体"/>
          <w:spacing w:val="14"/>
          <w:sz w:val="27"/>
          <w:szCs w:val="27"/>
        </w:rPr>
        <w:t>状动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5"/>
          <w:sz w:val="27"/>
          <w:szCs w:val="27"/>
        </w:rPr>
        <w:t>脉回旋支供血)和均衡型(左室后间隔由右</w:t>
      </w:r>
      <w:r>
        <w:rPr>
          <w:rFonts w:ascii="宋体" w:hAnsi="宋体" w:eastAsia="宋体" w:cs="宋体"/>
          <w:spacing w:val="14"/>
          <w:sz w:val="27"/>
          <w:szCs w:val="27"/>
        </w:rPr>
        <w:t>冠状动脉供血，左室下壁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0"/>
          <w:sz w:val="27"/>
          <w:szCs w:val="27"/>
        </w:rPr>
        <w:t>即膈面由左冠状动脉回旋支供血)。由于右优势型占冠状</w:t>
      </w:r>
      <w:r>
        <w:rPr>
          <w:rFonts w:ascii="宋体" w:hAnsi="宋体" w:eastAsia="宋体" w:cs="宋体"/>
          <w:spacing w:val="9"/>
          <w:sz w:val="27"/>
          <w:szCs w:val="27"/>
        </w:rPr>
        <w:t>动脉分布的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4"/>
          <w:sz w:val="27"/>
          <w:szCs w:val="27"/>
        </w:rPr>
        <w:t>70%,因此，通常我们以右优势型的冠状动脉分布为基础通过心电图</w:t>
      </w:r>
      <w:r>
        <w:rPr>
          <w:rFonts w:ascii="宋体" w:hAnsi="宋体" w:eastAsia="宋体" w:cs="宋体"/>
          <w:spacing w:val="18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6"/>
          <w:sz w:val="27"/>
          <w:szCs w:val="27"/>
        </w:rPr>
        <w:t>来进行梗死相关的冠状动脉的判断。</w:t>
      </w:r>
    </w:p>
    <w:p w14:paraId="354CC45A">
      <w:pPr>
        <w:pStyle w:val="2"/>
        <w:spacing w:line="280" w:lineRule="auto"/>
      </w:pPr>
    </w:p>
    <w:p w14:paraId="1F622DF2">
      <w:pPr>
        <w:pStyle w:val="2"/>
        <w:spacing w:line="280" w:lineRule="auto"/>
      </w:pPr>
    </w:p>
    <w:p w14:paraId="41B55E9D">
      <w:pPr>
        <w:pStyle w:val="2"/>
        <w:spacing w:line="280" w:lineRule="auto"/>
      </w:pPr>
    </w:p>
    <w:p w14:paraId="607F6D8A">
      <w:pPr>
        <w:pStyle w:val="2"/>
        <w:spacing w:line="281" w:lineRule="auto"/>
      </w:pPr>
    </w:p>
    <w:p w14:paraId="565CBAB7">
      <w:pPr>
        <w:spacing w:before="120" w:line="219" w:lineRule="auto"/>
        <w:ind w:left="5573"/>
        <w:rPr>
          <w:rFonts w:ascii="宋体" w:hAnsi="宋体" w:eastAsia="宋体" w:cs="宋体"/>
          <w:sz w:val="37"/>
          <w:szCs w:val="3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1538605</wp:posOffset>
            </wp:positionH>
            <wp:positionV relativeFrom="paragraph">
              <wp:posOffset>-681990</wp:posOffset>
            </wp:positionV>
            <wp:extent cx="2603500" cy="34861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3511" cy="3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"/>
          <w:sz w:val="37"/>
          <w:szCs w:val="37"/>
        </w:rPr>
        <w:t>左冠状动脉</w:t>
      </w:r>
    </w:p>
    <w:p w14:paraId="790AFC93">
      <w:pPr>
        <w:pStyle w:val="2"/>
        <w:spacing w:before="20" w:line="217" w:lineRule="auto"/>
        <w:ind w:left="373"/>
        <w:rPr>
          <w:sz w:val="32"/>
          <w:szCs w:val="32"/>
        </w:rPr>
      </w:pPr>
      <w:r>
        <w:rPr>
          <w:rFonts w:ascii="宋体" w:hAnsi="宋体" w:eastAsia="宋体" w:cs="宋体"/>
          <w:spacing w:val="-3"/>
          <w:sz w:val="37"/>
          <w:szCs w:val="37"/>
        </w:rPr>
        <w:t>右冠状动脉</w:t>
      </w:r>
      <w:r>
        <w:rPr>
          <w:rFonts w:ascii="宋体" w:hAnsi="宋体" w:eastAsia="宋体" w:cs="宋体"/>
          <w:spacing w:val="4"/>
          <w:sz w:val="37"/>
          <w:szCs w:val="37"/>
        </w:rPr>
        <w:t xml:space="preserve">                  </w:t>
      </w:r>
      <w:r>
        <w:rPr>
          <w:spacing w:val="-3"/>
          <w:sz w:val="32"/>
          <w:szCs w:val="32"/>
        </w:rPr>
        <w:t>Left  coronary</w:t>
      </w:r>
    </w:p>
    <w:p w14:paraId="7194D312">
      <w:pPr>
        <w:pStyle w:val="2"/>
        <w:spacing w:before="40" w:line="296" w:lineRule="auto"/>
        <w:ind w:left="1513" w:right="6010" w:hanging="1190"/>
        <w:rPr>
          <w:sz w:val="27"/>
          <w:szCs w:val="27"/>
        </w:rPr>
      </w:pPr>
      <w:r>
        <w:rPr>
          <w:spacing w:val="-2"/>
          <w:sz w:val="32"/>
          <w:szCs w:val="32"/>
        </w:rPr>
        <w:t>Right coronary</w:t>
      </w:r>
      <w:r>
        <w:rPr>
          <w:sz w:val="32"/>
          <w:szCs w:val="32"/>
        </w:rPr>
        <w:t xml:space="preserve"> </w:t>
      </w:r>
      <w:r>
        <w:rPr>
          <w:spacing w:val="-2"/>
          <w:sz w:val="27"/>
          <w:szCs w:val="27"/>
        </w:rPr>
        <w:t>artery</w:t>
      </w:r>
    </w:p>
    <w:p w14:paraId="2983A1CE">
      <w:pPr>
        <w:pStyle w:val="2"/>
        <w:spacing w:line="254" w:lineRule="auto"/>
      </w:pPr>
    </w:p>
    <w:p w14:paraId="49B5A005">
      <w:pPr>
        <w:pStyle w:val="2"/>
        <w:spacing w:line="254" w:lineRule="auto"/>
      </w:pPr>
    </w:p>
    <w:p w14:paraId="469997C0">
      <w:pPr>
        <w:pStyle w:val="2"/>
        <w:spacing w:line="254" w:lineRule="auto"/>
      </w:pPr>
    </w:p>
    <w:p w14:paraId="680A3A9C">
      <w:pPr>
        <w:pStyle w:val="2"/>
        <w:spacing w:line="254" w:lineRule="auto"/>
      </w:pPr>
    </w:p>
    <w:p w14:paraId="1B1DC7C9">
      <w:pPr>
        <w:pStyle w:val="2"/>
        <w:spacing w:line="254" w:lineRule="auto"/>
      </w:pPr>
    </w:p>
    <w:p w14:paraId="39AAC7E8">
      <w:pPr>
        <w:pStyle w:val="2"/>
        <w:spacing w:line="254" w:lineRule="auto"/>
      </w:pPr>
    </w:p>
    <w:p w14:paraId="3DC8A933">
      <w:pPr>
        <w:pStyle w:val="2"/>
        <w:spacing w:line="254" w:lineRule="auto"/>
      </w:pPr>
    </w:p>
    <w:p w14:paraId="21D87D4B">
      <w:pPr>
        <w:pStyle w:val="2"/>
        <w:spacing w:line="254" w:lineRule="auto"/>
      </w:pPr>
    </w:p>
    <w:p w14:paraId="6F6C45DB">
      <w:pPr>
        <w:pStyle w:val="2"/>
        <w:spacing w:line="254" w:lineRule="auto"/>
      </w:pPr>
    </w:p>
    <w:p w14:paraId="399D2ABC">
      <w:pPr>
        <w:pStyle w:val="2"/>
        <w:spacing w:line="254" w:lineRule="auto"/>
      </w:pPr>
    </w:p>
    <w:p w14:paraId="36AC75CD">
      <w:pPr>
        <w:pStyle w:val="2"/>
        <w:spacing w:line="255" w:lineRule="auto"/>
      </w:pPr>
    </w:p>
    <w:p w14:paraId="4D6ADD8F">
      <w:pPr>
        <w:spacing w:before="87" w:line="366" w:lineRule="auto"/>
        <w:ind w:left="13" w:firstLine="570"/>
        <w:jc w:val="both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一般来说，前降支供血前壁、前间壁、部分高侧壁和少部分下壁，</w:t>
      </w:r>
      <w:r>
        <w:rPr>
          <w:rFonts w:ascii="宋体" w:hAnsi="宋体" w:eastAsia="宋体" w:cs="宋体"/>
          <w:spacing w:val="2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6"/>
          <w:sz w:val="27"/>
          <w:szCs w:val="27"/>
        </w:rPr>
        <w:t>少数情况下后间隔主要由前降支供血；回旋支</w:t>
      </w:r>
      <w:r>
        <w:rPr>
          <w:rFonts w:ascii="宋体" w:hAnsi="宋体" w:eastAsia="宋体" w:cs="宋体"/>
          <w:spacing w:val="5"/>
          <w:sz w:val="27"/>
          <w:szCs w:val="27"/>
        </w:rPr>
        <w:t>供血部分高侧壁、多数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6"/>
          <w:sz w:val="27"/>
          <w:szCs w:val="27"/>
        </w:rPr>
        <w:t>正后壁、部分下壁。右冠状动脉供血右室、多数的左室下壁、部分左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"/>
          <w:sz w:val="27"/>
          <w:szCs w:val="27"/>
        </w:rPr>
        <w:t>室后壁。</w:t>
      </w:r>
    </w:p>
    <w:p w14:paraId="4CCA7F47">
      <w:pPr>
        <w:pStyle w:val="2"/>
        <w:spacing w:before="1" w:line="222" w:lineRule="auto"/>
        <w:ind w:left="2093"/>
        <w:rPr>
          <w:rFonts w:ascii="黑体" w:hAnsi="黑体" w:eastAsia="黑体" w:cs="黑体"/>
          <w:sz w:val="32"/>
          <w:szCs w:val="32"/>
        </w:rPr>
      </w:pPr>
      <w:r>
        <w:rPr>
          <w:b/>
          <w:bCs/>
          <w:spacing w:val="-15"/>
          <w:sz w:val="32"/>
          <w:szCs w:val="32"/>
        </w:rPr>
        <w:t>STEMI</w:t>
      </w:r>
      <w:r>
        <w:rPr>
          <w:b/>
          <w:bCs/>
          <w:spacing w:val="32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梗死相关血管判断的三步法</w:t>
      </w:r>
    </w:p>
    <w:p w14:paraId="156CC0DC">
      <w:pPr>
        <w:spacing w:before="177" w:line="369" w:lineRule="auto"/>
        <w:ind w:left="13" w:right="72" w:firstLine="57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6"/>
          <w:sz w:val="27"/>
          <w:szCs w:val="27"/>
        </w:rPr>
        <w:t>为便于描述，按某个壁及其与其他壁之间的关系分别定义为“本</w:t>
      </w:r>
      <w:r>
        <w:rPr>
          <w:rFonts w:ascii="宋体" w:hAnsi="宋体" w:eastAsia="宋体" w:cs="宋体"/>
          <w:spacing w:val="3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3"/>
          <w:sz w:val="27"/>
          <w:szCs w:val="27"/>
        </w:rPr>
        <w:t>壁”、 “邻壁”和“对壁”。</w:t>
      </w:r>
    </w:p>
    <w:p w14:paraId="79BEA73A">
      <w:pPr>
        <w:spacing w:before="2" w:line="377" w:lineRule="auto"/>
        <w:ind w:left="13" w:right="66" w:firstLine="57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2"/>
          <w:sz w:val="27"/>
          <w:szCs w:val="27"/>
        </w:rPr>
        <w:t>本壁指</w:t>
      </w:r>
      <w:r>
        <w:rPr>
          <w:rFonts w:ascii="Times New Roman" w:hAnsi="Times New Roman" w:eastAsia="Times New Roman" w:cs="Times New Roman"/>
          <w:sz w:val="27"/>
          <w:szCs w:val="27"/>
        </w:rPr>
        <w:t>ST</w:t>
      </w:r>
      <w:r>
        <w:rPr>
          <w:rFonts w:ascii="Times New Roman" w:hAnsi="Times New Roman" w:eastAsia="Times New Roman" w:cs="Times New Roman"/>
          <w:spacing w:val="12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2"/>
          <w:sz w:val="27"/>
          <w:szCs w:val="27"/>
        </w:rPr>
        <w:t>段抬高最明显的壁，邻壁是和本壁相邻的壁；对壁指</w:t>
      </w:r>
      <w:r>
        <w:rPr>
          <w:rFonts w:ascii="宋体" w:hAnsi="宋体" w:eastAsia="宋体" w:cs="宋体"/>
          <w:spacing w:val="10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4"/>
          <w:sz w:val="27"/>
          <w:szCs w:val="27"/>
        </w:rPr>
        <w:t>与本壁呈镜像关系的壁。</w:t>
      </w:r>
    </w:p>
    <w:p w14:paraId="3C90648D">
      <w:pPr>
        <w:spacing w:line="377" w:lineRule="auto"/>
        <w:rPr>
          <w:rFonts w:ascii="宋体" w:hAnsi="宋体" w:eastAsia="宋体" w:cs="宋体"/>
          <w:sz w:val="27"/>
          <w:szCs w:val="27"/>
        </w:rPr>
        <w:sectPr>
          <w:pgSz w:w="11910" w:h="16840"/>
          <w:pgMar w:top="400" w:right="1735" w:bottom="0" w:left="1786" w:header="0" w:footer="0" w:gutter="0"/>
          <w:cols w:space="720" w:num="1"/>
        </w:sectPr>
      </w:pPr>
    </w:p>
    <w:p w14:paraId="1402B990">
      <w:pPr>
        <w:pStyle w:val="2"/>
        <w:spacing w:line="283" w:lineRule="auto"/>
      </w:pPr>
    </w:p>
    <w:p w14:paraId="2CB8E80C">
      <w:pPr>
        <w:pStyle w:val="2"/>
        <w:spacing w:line="283" w:lineRule="auto"/>
      </w:pPr>
    </w:p>
    <w:p w14:paraId="7D1A0CC3">
      <w:pPr>
        <w:pStyle w:val="2"/>
        <w:spacing w:line="284" w:lineRule="auto"/>
      </w:pPr>
    </w:p>
    <w:p w14:paraId="0F38FEBF">
      <w:pPr>
        <w:pStyle w:val="2"/>
        <w:spacing w:line="284" w:lineRule="auto"/>
      </w:pPr>
    </w:p>
    <w:p w14:paraId="2C36D49A">
      <w:pPr>
        <w:spacing w:before="91" w:line="219" w:lineRule="auto"/>
        <w:ind w:left="58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第一步，确定</w:t>
      </w:r>
      <w:r>
        <w:rPr>
          <w:rFonts w:ascii="宋体" w:hAnsi="宋体" w:eastAsia="宋体" w:cs="宋体"/>
          <w:spacing w:val="-57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STEMI</w:t>
      </w:r>
      <w:r>
        <w:rPr>
          <w:rFonts w:ascii="宋体" w:hAnsi="宋体" w:eastAsia="宋体" w:cs="宋体"/>
          <w:spacing w:val="-38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的本壁</w:t>
      </w:r>
    </w:p>
    <w:p w14:paraId="5FEB4BA1">
      <w:pPr>
        <w:spacing w:before="207" w:line="356" w:lineRule="auto"/>
        <w:ind w:left="25" w:right="76" w:firstLine="560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3"/>
          <w:sz w:val="28"/>
          <w:szCs w:val="28"/>
        </w:rPr>
        <w:t>本壁直接代表梗死的壁。其次确定本壁导联的</w:t>
      </w:r>
      <w:r>
        <w:rPr>
          <w:rFonts w:ascii="宋体" w:hAnsi="宋体" w:eastAsia="宋体" w:cs="宋体"/>
          <w:sz w:val="28"/>
          <w:szCs w:val="28"/>
        </w:rPr>
        <w:t>ST</w:t>
      </w:r>
      <w:r>
        <w:rPr>
          <w:rFonts w:ascii="宋体" w:hAnsi="宋体" w:eastAsia="宋体" w:cs="宋体"/>
          <w:spacing w:val="-4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"/>
          <w:sz w:val="28"/>
          <w:szCs w:val="28"/>
        </w:rPr>
        <w:t>段抬高幅度的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6"/>
          <w:sz w:val="28"/>
          <w:szCs w:val="28"/>
        </w:rPr>
        <w:t>顺序，后者对于某些冠状动脉供血交叉或相邻的壁来说具有诊断价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值。</w:t>
      </w:r>
    </w:p>
    <w:p w14:paraId="2E07891E">
      <w:pPr>
        <w:spacing w:line="356" w:lineRule="auto"/>
        <w:ind w:left="25" w:right="76" w:firstLine="559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例如，下壁可以由右冠状动脉、回旋支和右冠状动脉三支冠状动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脉供血，所以本壁为下壁时，其导联</w:t>
      </w:r>
      <w:r>
        <w:rPr>
          <w:rFonts w:ascii="宋体" w:hAnsi="宋体" w:eastAsia="宋体" w:cs="宋体"/>
          <w:spacing w:val="-49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ST</w:t>
      </w:r>
      <w:r>
        <w:rPr>
          <w:rFonts w:ascii="宋体" w:hAnsi="宋体" w:eastAsia="宋体" w:cs="宋体"/>
          <w:spacing w:val="-57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 xml:space="preserve">段抬高的顺序对诊断很有价 </w:t>
      </w:r>
      <w:r>
        <w:rPr>
          <w:rFonts w:ascii="宋体" w:hAnsi="宋体" w:eastAsia="宋体" w:cs="宋体"/>
          <w:spacing w:val="-4"/>
          <w:sz w:val="28"/>
          <w:szCs w:val="28"/>
        </w:rPr>
        <w:t>值，III</w:t>
      </w:r>
      <w:r>
        <w:rPr>
          <w:rFonts w:ascii="宋体" w:hAnsi="宋体" w:eastAsia="宋体" w:cs="宋体"/>
          <w:spacing w:val="-5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导联更多位于右冠状动脉供血区，</w:t>
      </w:r>
      <w:r>
        <w:rPr>
          <w:rFonts w:ascii="宋体" w:hAnsi="宋体" w:eastAsia="宋体" w:cs="宋体"/>
          <w:spacing w:val="-5"/>
          <w:sz w:val="28"/>
          <w:szCs w:val="28"/>
        </w:rPr>
        <w:t>II</w:t>
      </w:r>
      <w:r>
        <w:rPr>
          <w:rFonts w:ascii="宋体" w:hAnsi="宋体" w:eastAsia="宋体" w:cs="宋体"/>
          <w:spacing w:val="-5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导联更多位于回旋支的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供血区，而</w:t>
      </w:r>
      <w:r>
        <w:rPr>
          <w:rFonts w:ascii="宋体" w:hAnsi="宋体" w:eastAsia="宋体" w:cs="宋体"/>
          <w:spacing w:val="-6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aVF</w:t>
      </w:r>
      <w:r>
        <w:rPr>
          <w:rFonts w:ascii="宋体" w:hAnsi="宋体" w:eastAsia="宋体" w:cs="宋体"/>
          <w:spacing w:val="-5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则位于其间下壁导联中。其次为高</w:t>
      </w:r>
      <w:r>
        <w:rPr>
          <w:rFonts w:ascii="宋体" w:hAnsi="宋体" w:eastAsia="宋体" w:cs="宋体"/>
          <w:spacing w:val="-5"/>
          <w:sz w:val="28"/>
          <w:szCs w:val="28"/>
        </w:rPr>
        <w:t>侧壁、后壁、前间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壁。</w:t>
      </w:r>
    </w:p>
    <w:p w14:paraId="54BABD9C">
      <w:pPr>
        <w:spacing w:before="1" w:line="219" w:lineRule="auto"/>
        <w:ind w:left="58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2"/>
          <w:sz w:val="28"/>
          <w:szCs w:val="28"/>
        </w:rPr>
        <w:t>第二步：邻壁的</w:t>
      </w:r>
      <w:r>
        <w:rPr>
          <w:rFonts w:ascii="宋体" w:hAnsi="宋体" w:eastAsia="宋体" w:cs="宋体"/>
          <w:b/>
          <w:bCs/>
          <w:sz w:val="28"/>
          <w:szCs w:val="28"/>
        </w:rPr>
        <w:t>ST</w:t>
      </w:r>
      <w:r>
        <w:rPr>
          <w:rFonts w:ascii="宋体" w:hAnsi="宋体" w:eastAsia="宋体" w:cs="宋体"/>
          <w:spacing w:val="-55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8"/>
          <w:szCs w:val="28"/>
        </w:rPr>
        <w:t>段改变</w:t>
      </w:r>
    </w:p>
    <w:p w14:paraId="741E2E35">
      <w:pPr>
        <w:spacing w:before="206" w:line="220" w:lineRule="auto"/>
        <w:ind w:left="58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"/>
          <w:sz w:val="28"/>
          <w:szCs w:val="28"/>
        </w:rPr>
        <w:t>它对于</w:t>
      </w:r>
      <w:r>
        <w:rPr>
          <w:rFonts w:ascii="宋体" w:hAnsi="宋体" w:eastAsia="宋体" w:cs="宋体"/>
          <w:sz w:val="28"/>
          <w:szCs w:val="28"/>
        </w:rPr>
        <w:t>STEMI</w:t>
      </w:r>
      <w:r>
        <w:rPr>
          <w:rFonts w:ascii="宋体" w:hAnsi="宋体" w:eastAsia="宋体" w:cs="宋体"/>
          <w:spacing w:val="-3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"/>
          <w:sz w:val="28"/>
          <w:szCs w:val="28"/>
        </w:rPr>
        <w:t>的定位诊断有很大帮助。</w:t>
      </w:r>
    </w:p>
    <w:p w14:paraId="25811CD1">
      <w:pPr>
        <w:spacing w:before="206" w:line="356" w:lineRule="auto"/>
        <w:ind w:left="23" w:firstLine="56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一般说来，邻壁与本壁有相同的ST</w:t>
      </w:r>
      <w:r>
        <w:rPr>
          <w:rFonts w:ascii="宋体" w:hAnsi="宋体" w:eastAsia="宋体" w:cs="宋体"/>
          <w:spacing w:val="-5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段抬高变化，只是幅度不同，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如前间壁与前壁，前壁与前侧壁，前壁与高侧壁，前侧壁与后壁，后</w:t>
      </w:r>
      <w:r>
        <w:rPr>
          <w:rFonts w:ascii="宋体" w:hAnsi="宋体" w:eastAsia="宋体" w:cs="宋体"/>
          <w:spacing w:val="1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壁与下壁，下壁与高侧壁等等。如果下壁导联</w:t>
      </w:r>
      <w:r>
        <w:rPr>
          <w:rFonts w:ascii="宋体" w:hAnsi="宋体" w:eastAsia="宋体" w:cs="宋体"/>
          <w:spacing w:val="-4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段抬高最为明显（本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壁</w:t>
      </w:r>
      <w:r>
        <w:rPr>
          <w:rFonts w:ascii="宋体" w:hAnsi="宋体" w:eastAsia="宋体" w:cs="宋体"/>
          <w:spacing w:val="-39"/>
          <w:sz w:val="28"/>
          <w:szCs w:val="28"/>
        </w:rPr>
        <w:t>），</w:t>
      </w:r>
      <w:r>
        <w:rPr>
          <w:rFonts w:ascii="宋体" w:hAnsi="宋体" w:eastAsia="宋体" w:cs="宋体"/>
          <w:spacing w:val="-8"/>
          <w:sz w:val="28"/>
          <w:szCs w:val="28"/>
        </w:rPr>
        <w:t>其邻壁可以是右室，也可以是后壁，或者两者。如本壁为后壁，</w:t>
      </w:r>
      <w:r>
        <w:rPr>
          <w:rFonts w:ascii="宋体" w:hAnsi="宋体" w:eastAsia="宋体" w:cs="宋体"/>
          <w:spacing w:val="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邻壁为下壁或者前侧壁、高侧壁。本壁</w:t>
      </w:r>
      <w:r>
        <w:rPr>
          <w:rFonts w:ascii="宋体" w:hAnsi="宋体" w:eastAsia="宋体" w:cs="宋体"/>
          <w:spacing w:val="-5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段抬高合并邻壁</w:t>
      </w:r>
      <w:r>
        <w:rPr>
          <w:rFonts w:ascii="宋体" w:hAnsi="宋体" w:eastAsia="宋体" w:cs="宋体"/>
          <w:spacing w:val="-5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段明显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压低，提示病人除了梗死以外，可能存在严重缺血，也是预后不好的</w:t>
      </w:r>
      <w:r>
        <w:rPr>
          <w:rFonts w:ascii="宋体" w:hAnsi="宋体" w:eastAsia="宋体" w:cs="宋体"/>
          <w:spacing w:val="1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标志。</w:t>
      </w:r>
    </w:p>
    <w:p w14:paraId="5C31A382">
      <w:pPr>
        <w:spacing w:before="2" w:line="219" w:lineRule="auto"/>
        <w:ind w:left="58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第三步：对壁导联</w:t>
      </w:r>
      <w:r>
        <w:rPr>
          <w:rFonts w:ascii="宋体" w:hAnsi="宋体" w:eastAsia="宋体" w:cs="宋体"/>
          <w:spacing w:val="-55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ST</w:t>
      </w:r>
      <w:r>
        <w:rPr>
          <w:rFonts w:ascii="宋体" w:hAnsi="宋体" w:eastAsia="宋体" w:cs="宋体"/>
          <w:spacing w:val="-57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段改变</w:t>
      </w:r>
    </w:p>
    <w:p w14:paraId="33266678">
      <w:pPr>
        <w:spacing w:before="202" w:line="357" w:lineRule="auto"/>
        <w:ind w:left="26" w:right="76" w:firstLine="563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与</w:t>
      </w:r>
      <w:r>
        <w:rPr>
          <w:rFonts w:ascii="宋体" w:hAnsi="宋体" w:eastAsia="宋体" w:cs="宋体"/>
          <w:spacing w:val="-8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ST</w:t>
      </w:r>
      <w:r>
        <w:rPr>
          <w:rFonts w:ascii="宋体" w:hAnsi="宋体" w:eastAsia="宋体" w:cs="宋体"/>
          <w:spacing w:val="-8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段抬高的本壁呈镜像改变的对壁</w:t>
      </w:r>
      <w:r>
        <w:rPr>
          <w:rFonts w:ascii="宋体" w:hAnsi="宋体" w:eastAsia="宋体" w:cs="宋体"/>
          <w:spacing w:val="-8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ST</w:t>
      </w:r>
      <w:r>
        <w:rPr>
          <w:rFonts w:ascii="宋体" w:hAnsi="宋体" w:eastAsia="宋体" w:cs="宋体"/>
          <w:spacing w:val="-8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段改变也具</w:t>
      </w:r>
      <w:r>
        <w:rPr>
          <w:rFonts w:ascii="宋体" w:hAnsi="宋体" w:eastAsia="宋体" w:cs="宋体"/>
          <w:spacing w:val="-3"/>
          <w:sz w:val="28"/>
          <w:szCs w:val="28"/>
        </w:rPr>
        <w:t>有很大的意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"/>
          <w:sz w:val="28"/>
          <w:szCs w:val="28"/>
        </w:rPr>
        <w:t>义。单纯的镜像关系，对壁的</w:t>
      </w:r>
      <w:r>
        <w:rPr>
          <w:rFonts w:ascii="宋体" w:hAnsi="宋体" w:eastAsia="宋体" w:cs="宋体"/>
          <w:sz w:val="28"/>
          <w:szCs w:val="28"/>
        </w:rPr>
        <w:t>ST</w:t>
      </w:r>
      <w:r>
        <w:rPr>
          <w:rFonts w:ascii="宋体" w:hAnsi="宋体" w:eastAsia="宋体" w:cs="宋体"/>
          <w:spacing w:val="-5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"/>
          <w:sz w:val="28"/>
          <w:szCs w:val="28"/>
        </w:rPr>
        <w:t>段应该呈现压低。但是，如果对壁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2"/>
          <w:sz w:val="28"/>
          <w:szCs w:val="28"/>
        </w:rPr>
        <w:t>本身也有原发性的缺血改变（</w:t>
      </w:r>
      <w:r>
        <w:rPr>
          <w:rFonts w:ascii="宋体" w:hAnsi="宋体" w:eastAsia="宋体" w:cs="宋体"/>
          <w:sz w:val="28"/>
          <w:szCs w:val="28"/>
        </w:rPr>
        <w:t>ST</w:t>
      </w:r>
      <w:r>
        <w:rPr>
          <w:rFonts w:ascii="宋体" w:hAnsi="宋体" w:eastAsia="宋体" w:cs="宋体"/>
          <w:spacing w:val="-5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2"/>
          <w:sz w:val="28"/>
          <w:szCs w:val="28"/>
        </w:rPr>
        <w:t>段抬高或压低</w:t>
      </w:r>
      <w:r>
        <w:rPr>
          <w:rFonts w:ascii="宋体" w:hAnsi="宋体" w:eastAsia="宋体" w:cs="宋体"/>
          <w:spacing w:val="18"/>
          <w:sz w:val="28"/>
          <w:szCs w:val="28"/>
        </w:rPr>
        <w:t>），</w:t>
      </w:r>
      <w:r>
        <w:rPr>
          <w:rFonts w:ascii="宋体" w:hAnsi="宋体" w:eastAsia="宋体" w:cs="宋体"/>
          <w:spacing w:val="2"/>
          <w:sz w:val="28"/>
          <w:szCs w:val="28"/>
        </w:rPr>
        <w:t>则表现就比较复</w:t>
      </w:r>
      <w:r>
        <w:rPr>
          <w:rFonts w:ascii="宋体" w:hAnsi="宋体" w:eastAsia="宋体" w:cs="宋体"/>
          <w:sz w:val="28"/>
          <w:szCs w:val="28"/>
        </w:rPr>
        <w:t xml:space="preserve"> 杂。如果对壁存在原发性缺血，则</w:t>
      </w:r>
      <w:r>
        <w:rPr>
          <w:rFonts w:ascii="宋体" w:hAnsi="宋体" w:eastAsia="宋体" w:cs="宋体"/>
          <w:spacing w:val="-50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ST</w:t>
      </w:r>
      <w:r>
        <w:rPr>
          <w:rFonts w:ascii="宋体" w:hAnsi="宋体" w:eastAsia="宋体" w:cs="宋体"/>
          <w:spacing w:val="-57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 xml:space="preserve">段压低会更加明显，如果对壁 </w:t>
      </w:r>
      <w:r>
        <w:rPr>
          <w:rFonts w:ascii="宋体" w:hAnsi="宋体" w:eastAsia="宋体" w:cs="宋体"/>
          <w:spacing w:val="-2"/>
          <w:sz w:val="28"/>
          <w:szCs w:val="28"/>
        </w:rPr>
        <w:t>也表现为</w:t>
      </w:r>
      <w:r>
        <w:rPr>
          <w:rFonts w:ascii="宋体" w:hAnsi="宋体" w:eastAsia="宋体" w:cs="宋体"/>
          <w:spacing w:val="-5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ST</w:t>
      </w:r>
      <w:r>
        <w:rPr>
          <w:rFonts w:ascii="宋体" w:hAnsi="宋体" w:eastAsia="宋体" w:cs="宋体"/>
          <w:spacing w:val="-5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段抬高，则具有抵消效应，即对壁的ST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段压低不明显或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无变化。呈镜像关系本壁与对壁常见于以下几组：</w:t>
      </w:r>
      <w:r>
        <w:rPr>
          <w:rFonts w:ascii="宋体" w:hAnsi="宋体" w:eastAsia="宋体" w:cs="宋体"/>
          <w:spacing w:val="-7"/>
          <w:sz w:val="28"/>
          <w:szCs w:val="28"/>
        </w:rPr>
        <w:t>高侧壁vs</w:t>
      </w:r>
      <w:r>
        <w:rPr>
          <w:rFonts w:ascii="宋体" w:hAnsi="宋体" w:eastAsia="宋体" w:cs="宋体"/>
          <w:spacing w:val="-5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下壁（尤</w:t>
      </w:r>
    </w:p>
    <w:p w14:paraId="4FB62E57">
      <w:pPr>
        <w:spacing w:line="357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400" w:right="1723" w:bottom="0" w:left="1785" w:header="0" w:footer="0" w:gutter="0"/>
          <w:cols w:space="720" w:num="1"/>
        </w:sectPr>
      </w:pPr>
    </w:p>
    <w:p w14:paraId="43F3E459">
      <w:pPr>
        <w:pStyle w:val="2"/>
        <w:spacing w:line="290" w:lineRule="auto"/>
      </w:pPr>
    </w:p>
    <w:p w14:paraId="6D3E57FF">
      <w:pPr>
        <w:pStyle w:val="2"/>
        <w:spacing w:line="290" w:lineRule="auto"/>
      </w:pPr>
    </w:p>
    <w:p w14:paraId="74EFED88">
      <w:pPr>
        <w:pStyle w:val="2"/>
        <w:spacing w:line="291" w:lineRule="auto"/>
      </w:pPr>
    </w:p>
    <w:p w14:paraId="20952D68">
      <w:pPr>
        <w:pStyle w:val="2"/>
        <w:spacing w:line="291" w:lineRule="auto"/>
      </w:pPr>
    </w:p>
    <w:p w14:paraId="6C086F1B">
      <w:pPr>
        <w:spacing w:before="88" w:line="216" w:lineRule="auto"/>
        <w:ind w:left="89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30"/>
          <w:sz w:val="27"/>
          <w:szCs w:val="27"/>
        </w:rPr>
        <w:t>其是</w:t>
      </w:r>
      <w:r>
        <w:rPr>
          <w:rFonts w:ascii="Times New Roman" w:hAnsi="Times New Roman" w:eastAsia="Times New Roman" w:cs="Times New Roman"/>
          <w:sz w:val="27"/>
          <w:szCs w:val="27"/>
        </w:rPr>
        <w:t>III</w:t>
      </w:r>
      <w:r>
        <w:rPr>
          <w:rFonts w:ascii="Times New Roman" w:hAnsi="Times New Roman" w:eastAsia="Times New Roman" w:cs="Times New Roman"/>
          <w:spacing w:val="30"/>
          <w:sz w:val="27"/>
          <w:szCs w:val="27"/>
        </w:rPr>
        <w:t xml:space="preserve">   </w:t>
      </w:r>
      <w:r>
        <w:rPr>
          <w:rFonts w:ascii="宋体" w:hAnsi="宋体" w:eastAsia="宋体" w:cs="宋体"/>
          <w:spacing w:val="30"/>
          <w:sz w:val="27"/>
          <w:szCs w:val="27"/>
        </w:rPr>
        <w:t>导联),前间壁</w:t>
      </w:r>
      <w:r>
        <w:rPr>
          <w:rFonts w:ascii="宋体" w:hAnsi="宋体" w:eastAsia="宋体" w:cs="宋体"/>
          <w:spacing w:val="-76"/>
          <w:sz w:val="27"/>
          <w:szCs w:val="27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</w:rPr>
        <w:t>vs</w:t>
      </w:r>
      <w:r>
        <w:rPr>
          <w:rFonts w:ascii="Times New Roman" w:hAnsi="Times New Roman" w:eastAsia="Times New Roman" w:cs="Times New Roman"/>
          <w:spacing w:val="4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30"/>
          <w:sz w:val="27"/>
          <w:szCs w:val="27"/>
        </w:rPr>
        <w:t>后壁。</w:t>
      </w:r>
    </w:p>
    <w:p w14:paraId="0FBFCD7A">
      <w:pPr>
        <w:spacing w:before="163" w:line="222" w:lineRule="auto"/>
        <w:ind w:left="185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急性心肌梗死相关闭塞动脉的快速定位</w:t>
      </w:r>
    </w:p>
    <w:p w14:paraId="70F4DC5D">
      <w:pPr>
        <w:spacing w:before="198" w:line="219" w:lineRule="auto"/>
        <w:jc w:val="right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"/>
          <w:sz w:val="27"/>
          <w:szCs w:val="27"/>
        </w:rPr>
        <w:t>对于一个</w:t>
      </w:r>
      <w:r>
        <w:rPr>
          <w:rFonts w:ascii="Times New Roman" w:hAnsi="Times New Roman" w:eastAsia="Times New Roman" w:cs="Times New Roman"/>
          <w:spacing w:val="-2"/>
          <w:sz w:val="27"/>
          <w:szCs w:val="27"/>
        </w:rPr>
        <w:t>STEMI</w:t>
      </w:r>
      <w:r>
        <w:rPr>
          <w:rFonts w:ascii="Times New Roman" w:hAnsi="Times New Roman" w:eastAsia="Times New Roman" w:cs="Times New Roman"/>
          <w:spacing w:val="-6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"/>
          <w:sz w:val="27"/>
          <w:szCs w:val="27"/>
        </w:rPr>
        <w:t>心电图，可以从上述本壁、邻壁和对壁进行分析。</w:t>
      </w:r>
    </w:p>
    <w:p w14:paraId="5268D797">
      <w:pPr>
        <w:spacing w:before="220" w:line="324" w:lineRule="auto"/>
        <w:ind w:left="89" w:right="90" w:firstLine="539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1"/>
          <w:sz w:val="27"/>
          <w:szCs w:val="27"/>
        </w:rPr>
        <w:t>1、本壁导联处于比较明确的单一冠状动脉分布区域，可以直接</w:t>
      </w:r>
      <w:r>
        <w:rPr>
          <w:rFonts w:ascii="宋体" w:hAnsi="宋体" w:eastAsia="宋体" w:cs="宋体"/>
          <w:spacing w:val="6"/>
          <w:sz w:val="27"/>
          <w:szCs w:val="27"/>
        </w:rPr>
        <w:t xml:space="preserve"> 作出梗死相关动脉的判断。比如前壁、广泛前壁心肌梗死，提示梗死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7"/>
          <w:sz w:val="27"/>
          <w:szCs w:val="27"/>
        </w:rPr>
        <w:t>的相关血管为前降支；右室梗死高度提示右冠状动脉病变。</w:t>
      </w:r>
    </w:p>
    <w:p w14:paraId="764D3C74">
      <w:pPr>
        <w:spacing w:before="197" w:line="305" w:lineRule="auto"/>
        <w:ind w:left="89" w:right="135" w:firstLine="539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9"/>
          <w:sz w:val="27"/>
          <w:szCs w:val="27"/>
        </w:rPr>
        <w:t>2、对于本壁处于两支或三支冠状动脉供血的重叠或交叉区域，</w:t>
      </w:r>
      <w:r>
        <w:rPr>
          <w:rFonts w:ascii="宋体" w:hAnsi="宋体" w:eastAsia="宋体" w:cs="宋体"/>
          <w:spacing w:val="16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5"/>
          <w:sz w:val="27"/>
          <w:szCs w:val="27"/>
        </w:rPr>
        <w:t>需要按照上述3步法进行判断。</w:t>
      </w:r>
    </w:p>
    <w:p w14:paraId="3D65A2FA">
      <w:pPr>
        <w:spacing w:before="226" w:line="217" w:lineRule="auto"/>
        <w:ind w:left="629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30"/>
          <w:sz w:val="27"/>
          <w:szCs w:val="27"/>
        </w:rPr>
        <w:t>①下壁心肌梗死</w:t>
      </w:r>
    </w:p>
    <w:p w14:paraId="29810A64">
      <w:pPr>
        <w:spacing w:before="206" w:line="361" w:lineRule="auto"/>
        <w:ind w:left="89" w:right="59" w:firstLine="49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9"/>
          <w:sz w:val="27"/>
          <w:szCs w:val="27"/>
        </w:rPr>
        <w:t>本壁为下壁，可以是右冠状动脉、回旋支或前降支病变。右冠状</w:t>
      </w:r>
      <w:r>
        <w:rPr>
          <w:rFonts w:ascii="宋体" w:hAnsi="宋体" w:eastAsia="宋体" w:cs="宋体"/>
          <w:spacing w:val="8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9"/>
          <w:sz w:val="27"/>
          <w:szCs w:val="27"/>
        </w:rPr>
        <w:t>动脉病变：本壁心电图</w:t>
      </w:r>
      <w:r>
        <w:rPr>
          <w:rFonts w:ascii="Times New Roman" w:hAnsi="Times New Roman" w:eastAsia="Times New Roman" w:cs="Times New Roman"/>
          <w:sz w:val="27"/>
          <w:szCs w:val="27"/>
        </w:rPr>
        <w:t>STIII</w:t>
      </w:r>
      <w:r>
        <w:rPr>
          <w:rFonts w:ascii="Times New Roman" w:hAnsi="Times New Roman" w:eastAsia="Times New Roman" w:cs="Times New Roman"/>
          <w:spacing w:val="9"/>
          <w:sz w:val="27"/>
          <w:szCs w:val="27"/>
        </w:rPr>
        <w:t>↑&gt;</w:t>
      </w:r>
      <w:r>
        <w:rPr>
          <w:rFonts w:ascii="Times New Roman" w:hAnsi="Times New Roman" w:eastAsia="Times New Roman" w:cs="Times New Roman"/>
          <w:sz w:val="27"/>
          <w:szCs w:val="27"/>
        </w:rPr>
        <w:t>STaVF</w:t>
      </w:r>
      <w:r>
        <w:rPr>
          <w:rFonts w:ascii="Times New Roman" w:hAnsi="Times New Roman" w:eastAsia="Times New Roman" w:cs="Times New Roman"/>
          <w:spacing w:val="9"/>
          <w:sz w:val="27"/>
          <w:szCs w:val="27"/>
        </w:rPr>
        <w:t>↑&gt;</w:t>
      </w:r>
      <w:r>
        <w:rPr>
          <w:rFonts w:ascii="Times New Roman" w:hAnsi="Times New Roman" w:eastAsia="Times New Roman" w:cs="Times New Roman"/>
          <w:sz w:val="27"/>
          <w:szCs w:val="27"/>
        </w:rPr>
        <w:t>STII</w:t>
      </w:r>
      <w:r>
        <w:rPr>
          <w:rFonts w:ascii="Times New Roman" w:hAnsi="Times New Roman" w:eastAsia="Times New Roman" w:cs="Times New Roman"/>
          <w:spacing w:val="9"/>
          <w:sz w:val="27"/>
          <w:szCs w:val="27"/>
        </w:rPr>
        <w:t xml:space="preserve">↑,           </w:t>
      </w:r>
      <w:r>
        <w:rPr>
          <w:rFonts w:ascii="宋体" w:hAnsi="宋体" w:eastAsia="宋体" w:cs="宋体"/>
          <w:spacing w:val="9"/>
          <w:sz w:val="27"/>
          <w:szCs w:val="27"/>
        </w:rPr>
        <w:t>邻壁为右室和后</w:t>
      </w:r>
      <w:r>
        <w:rPr>
          <w:rFonts w:ascii="宋体" w:hAnsi="宋体" w:eastAsia="宋体" w:cs="宋体"/>
          <w:spacing w:val="13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9"/>
          <w:sz w:val="27"/>
          <w:szCs w:val="27"/>
        </w:rPr>
        <w:t>壁，右室</w:t>
      </w:r>
      <w:r>
        <w:rPr>
          <w:rFonts w:ascii="Times New Roman" w:hAnsi="Times New Roman" w:eastAsia="Times New Roman" w:cs="Times New Roman"/>
          <w:sz w:val="27"/>
          <w:szCs w:val="27"/>
        </w:rPr>
        <w:t>ST</w:t>
      </w:r>
      <w:r>
        <w:rPr>
          <w:rFonts w:ascii="Times New Roman" w:hAnsi="Times New Roman" w:eastAsia="Times New Roman" w:cs="Times New Roman"/>
          <w:spacing w:val="9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9"/>
          <w:sz w:val="27"/>
          <w:szCs w:val="27"/>
        </w:rPr>
        <w:t>段抬高具有定位意义；对壁为高侧壁，尤其是</w:t>
      </w:r>
      <w:r>
        <w:rPr>
          <w:rFonts w:ascii="Times New Roman" w:hAnsi="Times New Roman" w:eastAsia="Times New Roman" w:cs="Times New Roman"/>
          <w:spacing w:val="9"/>
          <w:sz w:val="27"/>
          <w:szCs w:val="27"/>
        </w:rPr>
        <w:t>I</w:t>
      </w:r>
      <w:r>
        <w:rPr>
          <w:rFonts w:ascii="Times New Roman" w:hAnsi="Times New Roman" w:eastAsia="Times New Roman" w:cs="Times New Roman"/>
          <w:spacing w:val="69"/>
          <w:w w:val="10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9"/>
          <w:sz w:val="27"/>
          <w:szCs w:val="27"/>
        </w:rPr>
        <w:t>导</w:t>
      </w:r>
      <w:r>
        <w:rPr>
          <w:rFonts w:ascii="宋体" w:hAnsi="宋体" w:eastAsia="宋体" w:cs="宋体"/>
          <w:spacing w:val="-4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9"/>
          <w:sz w:val="27"/>
          <w:szCs w:val="27"/>
        </w:rPr>
        <w:t>联</w:t>
      </w:r>
      <w:r>
        <w:rPr>
          <w:rFonts w:ascii="Times New Roman" w:hAnsi="Times New Roman" w:eastAsia="Times New Roman" w:cs="Times New Roman"/>
          <w:sz w:val="27"/>
          <w:szCs w:val="27"/>
        </w:rPr>
        <w:t xml:space="preserve">ST </w:t>
      </w:r>
      <w:r>
        <w:rPr>
          <w:rFonts w:ascii="宋体" w:hAnsi="宋体" w:eastAsia="宋体" w:cs="宋体"/>
          <w:spacing w:val="7"/>
          <w:sz w:val="27"/>
          <w:szCs w:val="27"/>
        </w:rPr>
        <w:t>段压低更有意义。回旋支病变：本壁心电图</w:t>
      </w:r>
      <w:r>
        <w:rPr>
          <w:rFonts w:ascii="宋体" w:hAnsi="宋体" w:eastAsia="宋体" w:cs="宋体"/>
          <w:sz w:val="27"/>
          <w:szCs w:val="27"/>
        </w:rPr>
        <w:t>STII</w:t>
      </w:r>
      <w:r>
        <w:rPr>
          <w:rFonts w:ascii="宋体" w:hAnsi="宋体" w:eastAsia="宋体" w:cs="宋体"/>
          <w:spacing w:val="7"/>
          <w:sz w:val="27"/>
          <w:szCs w:val="27"/>
        </w:rPr>
        <w:t>↑&gt;</w:t>
      </w:r>
      <w:r>
        <w:rPr>
          <w:rFonts w:ascii="宋体" w:hAnsi="宋体" w:eastAsia="宋体" w:cs="宋体"/>
          <w:sz w:val="27"/>
          <w:szCs w:val="27"/>
        </w:rPr>
        <w:t>STaVF</w:t>
      </w:r>
      <w:r>
        <w:rPr>
          <w:rFonts w:ascii="宋体" w:hAnsi="宋体" w:eastAsia="宋体" w:cs="宋体"/>
          <w:spacing w:val="7"/>
          <w:sz w:val="27"/>
          <w:szCs w:val="27"/>
        </w:rPr>
        <w:t>↑&gt;</w:t>
      </w:r>
      <w:r>
        <w:rPr>
          <w:rFonts w:ascii="宋体" w:hAnsi="宋体" w:eastAsia="宋体" w:cs="宋体"/>
          <w:sz w:val="27"/>
          <w:szCs w:val="27"/>
        </w:rPr>
        <w:t>STIII</w:t>
      </w:r>
    </w:p>
    <w:p w14:paraId="3F1545D2">
      <w:pPr>
        <w:spacing w:before="5" w:line="360" w:lineRule="auto"/>
        <w:ind w:left="89" w:right="80" w:firstLine="7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3"/>
          <w:sz w:val="27"/>
          <w:szCs w:val="27"/>
        </w:rPr>
        <w:t>↑;邻壁为高侧壁或前侧壁</w:t>
      </w:r>
      <w:r>
        <w:rPr>
          <w:rFonts w:ascii="宋体" w:hAnsi="宋体" w:eastAsia="宋体" w:cs="宋体"/>
          <w:spacing w:val="-76"/>
          <w:sz w:val="27"/>
          <w:szCs w:val="27"/>
        </w:rPr>
        <w:t xml:space="preserve"> </w:t>
      </w:r>
      <w:r>
        <w:rPr>
          <w:rFonts w:ascii="宋体" w:hAnsi="宋体" w:eastAsia="宋体" w:cs="宋体"/>
          <w:sz w:val="27"/>
          <w:szCs w:val="27"/>
        </w:rPr>
        <w:t>ST</w:t>
      </w:r>
      <w:r>
        <w:rPr>
          <w:rFonts w:ascii="宋体" w:hAnsi="宋体" w:eastAsia="宋体" w:cs="宋体"/>
          <w:spacing w:val="-34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3"/>
          <w:sz w:val="27"/>
          <w:szCs w:val="27"/>
        </w:rPr>
        <w:t>段抬高对诊断有价值，邻壁如果是后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6"/>
          <w:sz w:val="27"/>
          <w:szCs w:val="27"/>
        </w:rPr>
        <w:t>壁，心电图多表现为</w:t>
      </w:r>
      <w:r>
        <w:rPr>
          <w:rFonts w:ascii="Times New Roman" w:hAnsi="Times New Roman" w:eastAsia="Times New Roman" w:cs="Times New Roman"/>
          <w:sz w:val="27"/>
          <w:szCs w:val="27"/>
        </w:rPr>
        <w:t>STV</w:t>
      </w:r>
      <w:r>
        <w:rPr>
          <w:rFonts w:ascii="Times New Roman" w:hAnsi="Times New Roman" w:eastAsia="Times New Roman" w:cs="Times New Roman"/>
          <w:spacing w:val="6"/>
          <w:sz w:val="27"/>
          <w:szCs w:val="27"/>
        </w:rPr>
        <w:t>7↑&gt;</w:t>
      </w:r>
      <w:r>
        <w:rPr>
          <w:rFonts w:ascii="Times New Roman" w:hAnsi="Times New Roman" w:eastAsia="Times New Roman" w:cs="Times New Roman"/>
          <w:sz w:val="27"/>
          <w:szCs w:val="27"/>
        </w:rPr>
        <w:t>STV</w:t>
      </w:r>
      <w:r>
        <w:rPr>
          <w:rFonts w:ascii="Times New Roman" w:hAnsi="Times New Roman" w:eastAsia="Times New Roman" w:cs="Times New Roman"/>
          <w:spacing w:val="6"/>
          <w:sz w:val="27"/>
          <w:szCs w:val="27"/>
        </w:rPr>
        <w:t>8</w:t>
      </w:r>
      <w:r>
        <w:rPr>
          <w:rFonts w:ascii="Times New Roman" w:hAnsi="Times New Roman" w:eastAsia="Times New Roman" w:cs="Times New Roman"/>
          <w:spacing w:val="32"/>
          <w:w w:val="101"/>
          <w:sz w:val="27"/>
          <w:szCs w:val="27"/>
        </w:rPr>
        <w:t xml:space="preserve">  </w:t>
      </w:r>
      <w:r>
        <w:rPr>
          <w:rFonts w:ascii="宋体" w:hAnsi="宋体" w:eastAsia="宋体" w:cs="宋体"/>
          <w:spacing w:val="6"/>
          <w:sz w:val="27"/>
          <w:szCs w:val="27"/>
        </w:rPr>
        <w:t xml:space="preserve">个&gt; </w:t>
      </w:r>
      <w:r>
        <w:rPr>
          <w:rFonts w:ascii="Times New Roman" w:hAnsi="Times New Roman" w:eastAsia="Times New Roman" w:cs="Times New Roman"/>
          <w:sz w:val="27"/>
          <w:szCs w:val="27"/>
        </w:rPr>
        <w:t>STV</w:t>
      </w:r>
      <w:r>
        <w:rPr>
          <w:rFonts w:ascii="Times New Roman" w:hAnsi="Times New Roman" w:eastAsia="Times New Roman" w:cs="Times New Roman"/>
          <w:spacing w:val="6"/>
          <w:sz w:val="27"/>
          <w:szCs w:val="27"/>
        </w:rPr>
        <w:t>9</w:t>
      </w:r>
      <w:r>
        <w:rPr>
          <w:rFonts w:ascii="宋体" w:hAnsi="宋体" w:eastAsia="宋体" w:cs="宋体"/>
          <w:spacing w:val="6"/>
          <w:sz w:val="27"/>
          <w:szCs w:val="27"/>
        </w:rPr>
        <w:t>个，对壁多为前间壁。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5"/>
          <w:sz w:val="27"/>
          <w:szCs w:val="27"/>
        </w:rPr>
        <w:t>也可以采用快速判断的流程图。</w:t>
      </w:r>
    </w:p>
    <w:p w14:paraId="126F9356">
      <w:pPr>
        <w:pStyle w:val="2"/>
        <w:spacing w:before="132" w:line="4030" w:lineRule="exact"/>
      </w:pPr>
      <w:r>
        <w:rPr>
          <w:position w:val="-80"/>
        </w:rPr>
        <w:pict>
          <v:group id="_x0000_s1030" o:spid="_x0000_s1030" o:spt="203" style="height:201.5pt;width:403pt;" coordsize="8060,4030">
            <o:lock v:ext="edit"/>
            <v:shape id="_x0000_s1031" o:spid="_x0000_s1031" o:spt="75" type="#_x0000_t75" style="position:absolute;left:0;top:0;height:4030;width:8060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32" o:spid="_x0000_s1032" o:spt="202" type="#_x0000_t202" style="position:absolute;left:-20;top:-20;height:4070;width:810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7A7B1C9">
                    <w:pPr>
                      <w:spacing w:before="167" w:line="219" w:lineRule="auto"/>
                      <w:ind w:left="3399"/>
                      <w:rPr>
                        <w:rFonts w:ascii="宋体" w:hAnsi="宋体" w:eastAsia="宋体" w:cs="宋体"/>
                        <w:sz w:val="27"/>
                        <w:szCs w:val="27"/>
                      </w:rPr>
                    </w:pPr>
                    <w:r>
                      <w:rPr>
                        <w:rFonts w:ascii="宋体" w:hAnsi="宋体" w:eastAsia="宋体" w:cs="宋体"/>
                        <w:spacing w:val="-9"/>
                        <w:sz w:val="27"/>
                        <w:szCs w:val="27"/>
                      </w:rPr>
                      <w:t>II,I</w:t>
                    </w:r>
                    <w:r>
                      <w:rPr>
                        <w:rFonts w:ascii="黑体" w:hAnsi="黑体" w:eastAsia="黑体" w:cs="黑体"/>
                        <w:spacing w:val="-9"/>
                        <w:sz w:val="27"/>
                        <w:szCs w:val="27"/>
                      </w:rPr>
                      <w:t>和</w:t>
                    </w:r>
                    <w:r>
                      <w:rPr>
                        <w:rFonts w:ascii="宋体" w:hAnsi="宋体" w:eastAsia="宋体" w:cs="宋体"/>
                        <w:spacing w:val="-9"/>
                        <w:sz w:val="27"/>
                        <w:szCs w:val="27"/>
                      </w:rPr>
                      <w:t xml:space="preserve">VF </w:t>
                    </w:r>
                    <w:r>
                      <w:rPr>
                        <w:rFonts w:ascii="黑体" w:hAnsi="黑体" w:eastAsia="黑体" w:cs="黑体"/>
                        <w:spacing w:val="-9"/>
                        <w:sz w:val="27"/>
                        <w:szCs w:val="27"/>
                      </w:rPr>
                      <w:t>导联</w:t>
                    </w:r>
                    <w:r>
                      <w:rPr>
                        <w:rFonts w:ascii="宋体" w:hAnsi="宋体" w:eastAsia="宋体" w:cs="宋体"/>
                        <w:spacing w:val="-9"/>
                        <w:sz w:val="27"/>
                        <w:szCs w:val="27"/>
                      </w:rPr>
                      <w:t>ST↑</w:t>
                    </w:r>
                  </w:p>
                  <w:p w14:paraId="7A437BCF">
                    <w:pPr>
                      <w:spacing w:before="101" w:line="222" w:lineRule="auto"/>
                      <w:ind w:left="3319"/>
                      <w:rPr>
                        <w:rFonts w:ascii="黑体" w:hAnsi="黑体" w:eastAsia="黑体" w:cs="黑体"/>
                        <w:sz w:val="27"/>
                        <w:szCs w:val="27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sz w:val="27"/>
                        <w:szCs w:val="27"/>
                      </w:rPr>
                      <w:t>(右冠或回旋支闭塞)</w:t>
                    </w:r>
                  </w:p>
                  <w:p w14:paraId="67089CE4">
                    <w:pPr>
                      <w:spacing w:before="226" w:line="222" w:lineRule="auto"/>
                      <w:ind w:left="109"/>
                      <w:rPr>
                        <w:rFonts w:ascii="黑体" w:hAnsi="黑体" w:eastAsia="黑体" w:cs="黑体"/>
                        <w:sz w:val="27"/>
                        <w:szCs w:val="27"/>
                      </w:rPr>
                    </w:pPr>
                    <w:r>
                      <w:rPr>
                        <w:rFonts w:ascii="黑体" w:hAnsi="黑体" w:eastAsia="黑体" w:cs="黑体"/>
                        <w:spacing w:val="1"/>
                        <w:sz w:val="32"/>
                        <w:szCs w:val="32"/>
                      </w:rPr>
                      <w:t>第一步</w:t>
                    </w:r>
                    <w:r>
                      <w:rPr>
                        <w:rFonts w:ascii="黑体" w:hAnsi="黑体" w:eastAsia="黑体" w:cs="黑体"/>
                        <w:spacing w:val="4"/>
                        <w:sz w:val="32"/>
                        <w:szCs w:val="32"/>
                      </w:rPr>
                      <w:t xml:space="preserve">                </w:t>
                    </w:r>
                    <w:r>
                      <w:rPr>
                        <w:rFonts w:ascii="黑体" w:hAnsi="黑体" w:eastAsia="黑体" w:cs="黑体"/>
                        <w:spacing w:val="1"/>
                        <w:sz w:val="27"/>
                        <w:szCs w:val="27"/>
                      </w:rPr>
                      <w:t>分析1导联</w:t>
                    </w:r>
                  </w:p>
                  <w:p w14:paraId="60D4FABB"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 w14:paraId="4DF4D81F"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 w14:paraId="1F34DF1A">
                    <w:pPr>
                      <w:spacing w:before="87" w:line="219" w:lineRule="auto"/>
                      <w:ind w:left="649"/>
                      <w:rPr>
                        <w:rFonts w:ascii="宋体" w:hAnsi="宋体" w:eastAsia="宋体" w:cs="宋体"/>
                        <w:sz w:val="27"/>
                        <w:szCs w:val="27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7"/>
                        <w:szCs w:val="27"/>
                      </w:rPr>
                      <w:t>sT1&gt;0.5mm       ST</w:t>
                    </w:r>
                    <w:r>
                      <w:rPr>
                        <w:rFonts w:ascii="黑体" w:hAnsi="黑体" w:eastAsia="黑体" w:cs="黑体"/>
                        <w:spacing w:val="-3"/>
                        <w:sz w:val="27"/>
                        <w:szCs w:val="27"/>
                      </w:rPr>
                      <w:t>等电位线或</w:t>
                    </w:r>
                    <w:r>
                      <w:rPr>
                        <w:rFonts w:ascii="宋体" w:hAnsi="宋体" w:eastAsia="宋体" w:cs="宋体"/>
                        <w:spacing w:val="-3"/>
                        <w:sz w:val="27"/>
                        <w:szCs w:val="27"/>
                      </w:rPr>
                      <w:t>ST↓/t&lt;0.5m     ST,&gt;20.5mm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6328DC5A">
      <w:pPr>
        <w:spacing w:line="4030" w:lineRule="exact"/>
        <w:sectPr>
          <w:pgSz w:w="11910" w:h="16840"/>
          <w:pgMar w:top="400" w:right="1739" w:bottom="0" w:left="1710" w:header="0" w:footer="0" w:gutter="0"/>
          <w:cols w:space="720" w:num="1"/>
        </w:sectPr>
      </w:pPr>
    </w:p>
    <w:p w14:paraId="70575957">
      <w:pPr>
        <w:pStyle w:val="2"/>
        <w:spacing w:line="265" w:lineRule="auto"/>
      </w:pPr>
    </w:p>
    <w:p w14:paraId="2B522D07">
      <w:pPr>
        <w:pStyle w:val="2"/>
        <w:spacing w:line="266" w:lineRule="auto"/>
      </w:pPr>
    </w:p>
    <w:p w14:paraId="322CF821">
      <w:pPr>
        <w:pStyle w:val="2"/>
        <w:spacing w:line="266" w:lineRule="auto"/>
      </w:pPr>
    </w:p>
    <w:p w14:paraId="774A9B49">
      <w:pPr>
        <w:pStyle w:val="2"/>
        <w:spacing w:line="266" w:lineRule="auto"/>
      </w:pPr>
    </w:p>
    <w:p w14:paraId="308451C8">
      <w:pPr>
        <w:pStyle w:val="2"/>
        <w:spacing w:line="6180" w:lineRule="exact"/>
        <w:ind w:firstLine="1563"/>
      </w:pPr>
      <w:r>
        <w:pict>
          <v:shape id="_x0000_s1033" o:spid="_x0000_s1033" o:spt="202" type="#_x0000_t202" style="position:absolute;left:0pt;margin-left:18.15pt;margin-top:5.45pt;height:17.05pt;width:55.6pt;z-index:2516684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896F703"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25"/>
                      <w:szCs w:val="25"/>
                    </w:rPr>
                  </w:pPr>
                  <w:r>
                    <w:rPr>
                      <w:rFonts w:ascii="黑体" w:hAnsi="黑体" w:eastAsia="黑体" w:cs="黑体"/>
                      <w:spacing w:val="17"/>
                      <w:sz w:val="25"/>
                      <w:szCs w:val="25"/>
                    </w:rPr>
                    <w:t>第二步●</w:t>
                  </w:r>
                </w:p>
              </w:txbxContent>
            </v:textbox>
          </v:shape>
        </w:pict>
      </w:r>
      <w:r>
        <w:pict>
          <v:shape id="_x0000_s1034" o:spid="_x0000_s1034" o:spt="202" type="#_x0000_t202" style="position:absolute;left:0pt;margin-left:18.15pt;margin-top:151.6pt;height:21.85pt;width:54.8pt;z-index:2516674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57C058D"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33"/>
                      <w:szCs w:val="33"/>
                    </w:rPr>
                  </w:pPr>
                  <w:r>
                    <w:rPr>
                      <w:rFonts w:ascii="黑体" w:hAnsi="黑体" w:eastAsia="黑体" w:cs="黑体"/>
                      <w:spacing w:val="21"/>
                      <w:sz w:val="33"/>
                      <w:szCs w:val="33"/>
                    </w:rPr>
                    <w:t>第三步</w:t>
                  </w:r>
                </w:p>
              </w:txbxContent>
            </v:textbox>
          </v:shape>
        </w:pict>
      </w:r>
      <w:r>
        <w:rPr>
          <w:position w:val="-123"/>
        </w:rPr>
        <w:pict>
          <v:group id="_x0000_s1035" o:spid="_x0000_s1035" o:spt="203" style="height:309.05pt;width:305.5pt;" coordsize="6110,6180">
            <o:lock v:ext="edit"/>
            <v:shape id="_x0000_s1036" o:spid="_x0000_s1036" o:spt="75" type="#_x0000_t75" style="position:absolute;left:0;top:0;height:6180;width:6110;" filled="f" stroked="f" coordsize="21600,21600">
              <v:path/>
              <v:fill on="f" focussize="0,0"/>
              <v:stroke on="f"/>
              <v:imagedata r:id="rId15" o:title=""/>
              <o:lock v:ext="edit" aspectratio="t"/>
            </v:shape>
            <v:shape id="_x0000_s1037" o:spid="_x0000_s1037" o:spt="202" type="#_x0000_t202" style="position:absolute;left:1119;top:139;height:6014;width:474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3B34304">
                    <w:pPr>
                      <w:spacing w:before="19" w:line="222" w:lineRule="auto"/>
                      <w:ind w:left="1089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11"/>
                        <w:sz w:val="25"/>
                        <w:szCs w:val="25"/>
                      </w:rPr>
                      <w:t>分析Ⅱ和Ⅲ导联</w:t>
                    </w:r>
                  </w:p>
                  <w:p w14:paraId="457120AF">
                    <w:pPr>
                      <w:spacing w:before="249" w:line="185" w:lineRule="auto"/>
                      <w:ind w:left="150"/>
                      <w:rPr>
                        <w:rFonts w:ascii="Times New Roman" w:hAnsi="Times New Roman" w:eastAsia="Times New Roman" w:cs="Times New Roman"/>
                        <w:sz w:val="33"/>
                        <w:szCs w:val="33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position w:val="2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仿宋" w:hAnsi="仿宋" w:eastAsia="仿宋" w:cs="仿宋"/>
                        <w:spacing w:val="-11"/>
                        <w:position w:val="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3"/>
                        <w:position w:val="2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仿宋" w:hAnsi="仿宋" w:eastAsia="仿宋" w:cs="仿宋"/>
                        <w:spacing w:val="-25"/>
                        <w:position w:val="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3"/>
                        <w:position w:val="2"/>
                        <w:sz w:val="18"/>
                        <w:szCs w:val="18"/>
                      </w:rPr>
                      <w:t>&gt;</w:t>
                    </w:r>
                    <w:r>
                      <w:rPr>
                        <w:rFonts w:ascii="仿宋" w:hAnsi="仿宋" w:eastAsia="仿宋" w:cs="仿宋"/>
                        <w:spacing w:val="-24"/>
                        <w:position w:val="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3"/>
                        <w:position w:val="2"/>
                        <w:sz w:val="18"/>
                        <w:szCs w:val="18"/>
                      </w:rPr>
                      <w:t>川</w:t>
                    </w:r>
                    <w:r>
                      <w:rPr>
                        <w:rFonts w:ascii="仿宋" w:hAnsi="仿宋" w:eastAsia="仿宋" w:cs="仿宋"/>
                        <w:position w:val="2"/>
                        <w:sz w:val="18"/>
                        <w:szCs w:val="18"/>
                      </w:rPr>
                      <w:t xml:space="preserve">                 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13"/>
                        <w:position w:val="-1"/>
                        <w:sz w:val="33"/>
                        <w:szCs w:val="33"/>
                      </w:rPr>
                      <w:t>I&lt;Ⅲ</w:t>
                    </w:r>
                  </w:p>
                  <w:p w14:paraId="7C4DEAB4"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 w14:paraId="5A692568"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 w14:paraId="38963328"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 w14:paraId="2FF6EE4B"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 w14:paraId="7ED372A6"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 w14:paraId="496DCEED"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 w14:paraId="5A93B889">
                    <w:pPr>
                      <w:spacing w:before="81" w:line="222" w:lineRule="auto"/>
                      <w:ind w:left="2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15"/>
                        <w:sz w:val="25"/>
                        <w:szCs w:val="25"/>
                      </w:rPr>
                      <w:t>回旋支</w:t>
                    </w:r>
                  </w:p>
                  <w:p w14:paraId="053AB1CA">
                    <w:pPr>
                      <w:spacing w:before="156" w:line="309" w:lineRule="auto"/>
                      <w:ind w:left="3869" w:right="20" w:hanging="2049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position w:val="-3"/>
                        <w:sz w:val="28"/>
                        <w:szCs w:val="28"/>
                      </w:rPr>
                      <w:t>┌计算</w:t>
                    </w:r>
                    <w:r>
                      <w:rPr>
                        <w:rFonts w:ascii="黑体" w:hAnsi="黑体" w:eastAsia="黑体" w:cs="黑体"/>
                        <w:spacing w:val="10"/>
                        <w:position w:val="-3"/>
                        <w:sz w:val="28"/>
                        <w:szCs w:val="28"/>
                      </w:rPr>
                      <w:t xml:space="preserve">          </w:t>
                    </w:r>
                    <w:r>
                      <w:rPr>
                        <w:rFonts w:ascii="黑体" w:hAnsi="黑体" w:eastAsia="黑体" w:cs="黑体"/>
                        <w:position w:val="5"/>
                        <w:sz w:val="28"/>
                        <w:szCs w:val="28"/>
                      </w:rPr>
                      <w:t>比值</w:t>
                    </w:r>
                    <w:r>
                      <w:rPr>
                        <w:rFonts w:ascii="黑体" w:hAnsi="黑体" w:eastAsia="黑体" w:cs="黑体"/>
                        <w:spacing w:val="2"/>
                        <w:position w:val="5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6"/>
                        <w:szCs w:val="16"/>
                      </w:rPr>
                      <w:t>≤1</w:t>
                    </w:r>
                  </w:p>
                  <w:p w14:paraId="035AAEC0"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 w14:paraId="1AC1B47E"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 w14:paraId="5A34979D">
                    <w:pPr>
                      <w:spacing w:before="91" w:line="184" w:lineRule="auto"/>
                      <w:ind w:left="2580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凹</w:t>
                    </w:r>
                  </w:p>
                  <w:p w14:paraId="33277F89"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 w14:paraId="1A5FB6EC"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 w14:paraId="6BF3307B"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 w14:paraId="587972F1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07EA4BF5">
                    <w:pPr>
                      <w:spacing w:before="82" w:line="222" w:lineRule="auto"/>
                      <w:ind w:left="334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19"/>
                        <w:sz w:val="25"/>
                        <w:szCs w:val="25"/>
                      </w:rPr>
                      <w:t>右冠脉</w:t>
                    </w:r>
                  </w:p>
                </w:txbxContent>
              </v:textbox>
            </v:shape>
            <v:shape id="_x0000_s1038" o:spid="_x0000_s1038" o:spt="202" type="#_x0000_t202" style="position:absolute;left:1589;top:5869;height:293;width:8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A77B481"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15"/>
                        <w:sz w:val="25"/>
                        <w:szCs w:val="25"/>
                      </w:rPr>
                      <w:t>回旋支</w:t>
                    </w:r>
                  </w:p>
                </w:txbxContent>
              </v:textbox>
            </v:shape>
            <v:shape id="_x0000_s1039" o:spid="_x0000_s1039" o:spt="202" type="#_x0000_t202" style="position:absolute;left:1749;top:3535;height:290;width:27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D0E39A7">
                    <w:pPr>
                      <w:spacing w:before="20"/>
                      <w:ind w:left="20"/>
                      <w:rPr>
                        <w:rFonts w:ascii="宋体" w:hAnsi="宋体" w:eastAsia="宋体" w:cs="宋体"/>
                        <w:sz w:val="25"/>
                        <w:szCs w:val="25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25"/>
                        <w:szCs w:val="25"/>
                      </w:rPr>
                      <w:t>&gt;1</w:t>
                    </w:r>
                  </w:p>
                </w:txbxContent>
              </v:textbox>
            </v:shape>
            <v:shape id="_x0000_s1040" o:spid="_x0000_s1040" o:spt="202" type="#_x0000_t202" style="position:absolute;left:969;top:4455;height:293;width:1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C93A345">
                    <w:pPr>
                      <w:spacing w:before="19" w:line="227" w:lineRule="auto"/>
                      <w:jc w:val="right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-35"/>
                        <w:w w:val="72"/>
                        <w:sz w:val="25"/>
                        <w:szCs w:val="25"/>
                      </w:rPr>
                      <w:t>四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5500A13C">
      <w:pPr>
        <w:pStyle w:val="2"/>
        <w:spacing w:before="227" w:line="234" w:lineRule="auto"/>
        <w:ind w:left="3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pacing w:val="-2"/>
          <w:position w:val="2"/>
          <w:sz w:val="25"/>
          <w:szCs w:val="25"/>
        </w:rPr>
        <w:t xml:space="preserve">第四步●                      </w:t>
      </w:r>
      <w:r>
        <w:rPr>
          <w:rFonts w:ascii="黑体" w:hAnsi="黑体" w:eastAsia="黑体" w:cs="黑体"/>
          <w:spacing w:val="-3"/>
          <w:position w:val="2"/>
          <w:sz w:val="25"/>
          <w:szCs w:val="25"/>
        </w:rPr>
        <w:t xml:space="preserve">     </w:t>
      </w:r>
      <w:r>
        <w:rPr>
          <w:spacing w:val="-3"/>
          <w:sz w:val="25"/>
          <w:szCs w:val="25"/>
        </w:rPr>
        <w:t>V</w:t>
      </w:r>
      <w:r>
        <w:rPr>
          <w:rFonts w:ascii="Calibri" w:hAnsi="Calibri" w:eastAsia="Calibri" w:cs="Calibri"/>
          <w:spacing w:val="-3"/>
          <w:sz w:val="25"/>
          <w:szCs w:val="25"/>
        </w:rPr>
        <w:t xml:space="preserve">₁ </w:t>
      </w:r>
      <w:r>
        <w:rPr>
          <w:rFonts w:ascii="黑体" w:hAnsi="黑体" w:eastAsia="黑体" w:cs="黑体"/>
          <w:spacing w:val="-3"/>
          <w:sz w:val="25"/>
          <w:szCs w:val="25"/>
        </w:rPr>
        <w:t>导联</w:t>
      </w:r>
      <w:r>
        <w:rPr>
          <w:spacing w:val="-3"/>
          <w:sz w:val="25"/>
          <w:szCs w:val="25"/>
        </w:rPr>
        <w:t xml:space="preserve">ST↑/I≤0.5mm </w:t>
      </w:r>
      <w:r>
        <w:rPr>
          <w:rFonts w:ascii="黑体" w:hAnsi="黑体" w:eastAsia="黑体" w:cs="黑体"/>
          <w:spacing w:val="-3"/>
          <w:sz w:val="25"/>
          <w:szCs w:val="25"/>
        </w:rPr>
        <w:t>或等电位线</w:t>
      </w:r>
    </w:p>
    <w:p w14:paraId="37F327A9">
      <w:pPr>
        <w:pStyle w:val="2"/>
        <w:spacing w:line="2165" w:lineRule="exact"/>
        <w:ind w:firstLine="2513"/>
      </w:pPr>
      <w:r>
        <w:rPr>
          <w:position w:val="-43"/>
        </w:rPr>
        <w:pict>
          <v:group id="_x0000_s1041" o:spid="_x0000_s1041" o:spt="203" style="height:108.3pt;width:286.3pt;" coordsize="5725,2166">
            <o:lock v:ext="edit"/>
            <v:shape id="_x0000_s1042" o:spid="_x0000_s1042" o:spt="75" type="#_x0000_t75" style="position:absolute;left:0;top:-4;height:2171;width:5720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43" o:spid="_x0000_s1043" o:spt="202" type="#_x0000_t202" style="position:absolute;left:20;top:76;height:1461;width:430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4442B79">
                    <w:pPr>
                      <w:spacing w:before="19" w:line="229" w:lineRule="auto"/>
                      <w:ind w:right="10"/>
                      <w:jc w:val="right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sz w:val="25"/>
                        <w:szCs w:val="25"/>
                      </w:rPr>
                      <w:t>是</w:t>
                    </w:r>
                    <w:r>
                      <w:rPr>
                        <w:rFonts w:ascii="黑体" w:hAnsi="黑体" w:eastAsia="黑体" w:cs="黑体"/>
                        <w:spacing w:val="4"/>
                        <w:sz w:val="25"/>
                        <w:szCs w:val="25"/>
                      </w:rPr>
                      <w:t xml:space="preserve">                   </w:t>
                    </w:r>
                    <w:r>
                      <w:rPr>
                        <w:rFonts w:ascii="黑体" w:hAnsi="黑体" w:eastAsia="黑体" w:cs="黑体"/>
                        <w:spacing w:val="-8"/>
                        <w:sz w:val="25"/>
                        <w:szCs w:val="25"/>
                      </w:rPr>
                      <w:t>否</w:t>
                    </w:r>
                  </w:p>
                  <w:p w14:paraId="4300FDAE"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 w14:paraId="56FDA66F"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 w14:paraId="2EAB49FE">
                    <w:pPr>
                      <w:spacing w:before="81" w:line="217" w:lineRule="auto"/>
                      <w:ind w:left="20" w:right="350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9"/>
                        <w:sz w:val="25"/>
                        <w:szCs w:val="25"/>
                      </w:rPr>
                      <w:t>右冠近</w:t>
                    </w:r>
                    <w:r>
                      <w:rPr>
                        <w:rFonts w:ascii="黑体" w:hAnsi="黑体" w:eastAsia="黑体" w:cs="黑体"/>
                        <w:spacing w:val="1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"/>
                        <w:sz w:val="25"/>
                        <w:szCs w:val="25"/>
                      </w:rPr>
                      <w:t>端病变</w:t>
                    </w:r>
                  </w:p>
                </w:txbxContent>
              </v:textbox>
            </v:shape>
            <v:shape id="_x0000_s1044" o:spid="_x0000_s1044" o:spt="202" type="#_x0000_t202" style="position:absolute;left:4930;top:914;height:582;width:8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C809090">
                    <w:pPr>
                      <w:spacing w:before="20" w:line="217" w:lineRule="auto"/>
                      <w:ind w:left="20" w:right="2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6"/>
                        <w:sz w:val="25"/>
                        <w:szCs w:val="25"/>
                      </w:rPr>
                      <w:t>右冠远</w:t>
                    </w:r>
                    <w:r>
                      <w:rPr>
                        <w:rFonts w:ascii="黑体" w:hAnsi="黑体" w:eastAsia="黑体" w:cs="黑体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8"/>
                        <w:sz w:val="25"/>
                        <w:szCs w:val="25"/>
                      </w:rPr>
                      <w:t>端病变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5DA93C0C">
      <w:pPr>
        <w:spacing w:before="307" w:line="217" w:lineRule="auto"/>
        <w:ind w:left="38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②高侧壁</w:t>
      </w:r>
    </w:p>
    <w:p w14:paraId="30495B9D">
      <w:pPr>
        <w:spacing w:before="228" w:line="349" w:lineRule="auto"/>
        <w:ind w:left="3" w:right="3" w:firstLine="580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可以是前降支的对角支病变，也可以是回旋支的钝缘支病变。前</w:t>
      </w:r>
      <w:r>
        <w:rPr>
          <w:rFonts w:ascii="宋体" w:hAnsi="宋体" w:eastAsia="宋体" w:cs="宋体"/>
          <w:spacing w:val="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降支对角支病变：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STaVL↑&gt;STI</w:t>
      </w: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个，邻壁为前壁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ST </w:t>
      </w:r>
      <w:r>
        <w:rPr>
          <w:rFonts w:ascii="宋体" w:hAnsi="宋体" w:eastAsia="宋体" w:cs="宋体"/>
          <w:spacing w:val="-3"/>
          <w:sz w:val="28"/>
          <w:szCs w:val="28"/>
        </w:rPr>
        <w:t>段抬高更为支持，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5"/>
          <w:sz w:val="28"/>
          <w:szCs w:val="28"/>
        </w:rPr>
        <w:t>对壁为下壁；回旋支(钝缘支)病变：本壁</w:t>
      </w:r>
      <w:r>
        <w:rPr>
          <w:rFonts w:ascii="宋体" w:hAnsi="宋体" w:eastAsia="宋体" w:cs="宋体"/>
          <w:sz w:val="28"/>
          <w:szCs w:val="28"/>
        </w:rPr>
        <w:t>STI</w:t>
      </w:r>
      <w:r>
        <w:rPr>
          <w:rFonts w:ascii="宋体" w:hAnsi="宋体" w:eastAsia="宋体" w:cs="宋体"/>
          <w:spacing w:val="15"/>
          <w:sz w:val="28"/>
          <w:szCs w:val="28"/>
        </w:rPr>
        <w:t>↑&gt;</w:t>
      </w:r>
      <w:r>
        <w:rPr>
          <w:rFonts w:ascii="宋体" w:hAnsi="宋体" w:eastAsia="宋体" w:cs="宋体"/>
          <w:sz w:val="28"/>
          <w:szCs w:val="28"/>
        </w:rPr>
        <w:t>STaVL</w:t>
      </w:r>
      <w:r>
        <w:rPr>
          <w:rFonts w:ascii="宋体" w:hAnsi="宋体" w:eastAsia="宋体" w:cs="宋体"/>
          <w:spacing w:val="7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5"/>
          <w:sz w:val="28"/>
          <w:szCs w:val="28"/>
        </w:rPr>
        <w:t>个，邻壁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7"/>
          <w:sz w:val="28"/>
          <w:szCs w:val="28"/>
        </w:rPr>
        <w:t>为下壁</w:t>
      </w:r>
      <w:r>
        <w:rPr>
          <w:rFonts w:ascii="Times New Roman" w:hAnsi="Times New Roman" w:eastAsia="Times New Roman" w:cs="Times New Roman"/>
          <w:sz w:val="28"/>
          <w:szCs w:val="28"/>
        </w:rPr>
        <w:t>ST</w:t>
      </w:r>
      <w:r>
        <w:rPr>
          <w:rFonts w:ascii="Times New Roman" w:hAnsi="Times New Roman" w:eastAsia="Times New Roman" w:cs="Times New Roman"/>
          <w:spacing w:val="-1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7"/>
          <w:sz w:val="28"/>
          <w:szCs w:val="28"/>
        </w:rPr>
        <w:t>段抬高</w:t>
      </w:r>
      <w:r>
        <w:rPr>
          <w:rFonts w:ascii="宋体" w:hAnsi="宋体" w:eastAsia="宋体" w:cs="宋体"/>
          <w:spacing w:val="-72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17"/>
          <w:sz w:val="28"/>
          <w:szCs w:val="28"/>
        </w:rPr>
        <w:t>(</w:t>
      </w:r>
      <w:r>
        <w:rPr>
          <w:rFonts w:ascii="Times New Roman" w:hAnsi="Times New Roman" w:eastAsia="Times New Roman" w:cs="Times New Roman"/>
          <w:sz w:val="28"/>
          <w:szCs w:val="28"/>
        </w:rPr>
        <w:t>II</w:t>
      </w:r>
      <w:r>
        <w:rPr>
          <w:rFonts w:ascii="Times New Roman" w:hAnsi="Times New Roman" w:eastAsia="Times New Roman" w:cs="Times New Roman"/>
          <w:spacing w:val="17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17"/>
          <w:sz w:val="28"/>
          <w:szCs w:val="28"/>
        </w:rPr>
        <w:t>导联明显),对壁为部分下壁(尤其是</w:t>
      </w:r>
      <w:r>
        <w:rPr>
          <w:rFonts w:ascii="Times New Roman" w:hAnsi="Times New Roman" w:eastAsia="Times New Roman" w:cs="Times New Roman"/>
          <w:sz w:val="28"/>
          <w:szCs w:val="28"/>
        </w:rPr>
        <w:t>III</w:t>
      </w:r>
      <w:r>
        <w:rPr>
          <w:rFonts w:ascii="Times New Roman" w:hAnsi="Times New Roman" w:eastAsia="Times New Roman" w:cs="Times New Roman"/>
          <w:spacing w:val="17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17"/>
          <w:sz w:val="28"/>
          <w:szCs w:val="28"/>
        </w:rPr>
        <w:t>导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联</w:t>
      </w:r>
      <w:r>
        <w:rPr>
          <w:rFonts w:ascii="宋体" w:hAnsi="宋体" w:eastAsia="宋体" w:cs="宋体"/>
          <w:spacing w:val="-3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)</w:t>
      </w:r>
      <w:r>
        <w:rPr>
          <w:rFonts w:ascii="宋体" w:hAnsi="宋体" w:eastAsia="宋体" w:cs="宋体"/>
          <w:spacing w:val="-12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。</w:t>
      </w:r>
    </w:p>
    <w:p w14:paraId="053B2147">
      <w:pPr>
        <w:spacing w:before="62" w:line="217" w:lineRule="auto"/>
        <w:ind w:left="55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8"/>
          <w:sz w:val="28"/>
          <w:szCs w:val="28"/>
        </w:rPr>
        <w:t>③</w:t>
      </w:r>
      <w:r>
        <w:rPr>
          <w:rFonts w:ascii="宋体" w:hAnsi="宋体" w:eastAsia="宋体" w:cs="宋体"/>
          <w:spacing w:val="-4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后</w:t>
      </w:r>
      <w:r>
        <w:rPr>
          <w:rFonts w:ascii="宋体" w:hAnsi="宋体" w:eastAsia="宋体" w:cs="宋体"/>
          <w:spacing w:val="-5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壁</w:t>
      </w:r>
    </w:p>
    <w:p w14:paraId="3E7BFD75">
      <w:pPr>
        <w:spacing w:before="191" w:line="427" w:lineRule="auto"/>
        <w:ind w:left="3" w:right="23" w:firstLine="590"/>
        <w:rPr>
          <w:rFonts w:ascii="宋体" w:hAnsi="宋体" w:eastAsia="宋体" w:cs="宋体"/>
          <w:sz w:val="25"/>
          <w:szCs w:val="25"/>
        </w:rPr>
        <w:sectPr>
          <w:pgSz w:w="11910" w:h="16840"/>
          <w:pgMar w:top="400" w:right="1786" w:bottom="0" w:left="1786" w:header="0" w:footer="0" w:gutter="0"/>
          <w:cols w:space="720" w:num="1"/>
        </w:sectPr>
      </w:pPr>
      <w:r>
        <w:rPr>
          <w:rFonts w:ascii="宋体" w:hAnsi="宋体" w:eastAsia="宋体" w:cs="宋体"/>
          <w:spacing w:val="19"/>
          <w:sz w:val="25"/>
          <w:szCs w:val="25"/>
        </w:rPr>
        <w:t>回旋支病变：本壁心电图表现</w:t>
      </w:r>
      <w:r>
        <w:rPr>
          <w:rFonts w:ascii="宋体" w:hAnsi="宋体" w:eastAsia="宋体" w:cs="宋体"/>
          <w:spacing w:val="-70"/>
          <w:sz w:val="25"/>
          <w:szCs w:val="25"/>
        </w:rPr>
        <w:t xml:space="preserve"> </w:t>
      </w:r>
      <w:r>
        <w:rPr>
          <w:rFonts w:ascii="宋体" w:hAnsi="宋体" w:eastAsia="宋体" w:cs="宋体"/>
          <w:sz w:val="25"/>
          <w:szCs w:val="25"/>
        </w:rPr>
        <w:t>STV</w:t>
      </w:r>
      <w:r>
        <w:rPr>
          <w:rFonts w:ascii="宋体" w:hAnsi="宋体" w:eastAsia="宋体" w:cs="宋体"/>
          <w:spacing w:val="19"/>
          <w:sz w:val="25"/>
          <w:szCs w:val="25"/>
        </w:rPr>
        <w:t>7</w:t>
      </w:r>
      <w:r>
        <w:rPr>
          <w:rFonts w:ascii="宋体" w:hAnsi="宋体" w:eastAsia="宋体" w:cs="宋体"/>
          <w:spacing w:val="46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9"/>
          <w:sz w:val="25"/>
          <w:szCs w:val="25"/>
        </w:rPr>
        <w:t>个&gt;</w:t>
      </w:r>
      <w:r>
        <w:rPr>
          <w:rFonts w:ascii="宋体" w:hAnsi="宋体" w:eastAsia="宋体" w:cs="宋体"/>
          <w:spacing w:val="-21"/>
          <w:sz w:val="25"/>
          <w:szCs w:val="25"/>
        </w:rPr>
        <w:t xml:space="preserve"> </w:t>
      </w:r>
      <w:r>
        <w:rPr>
          <w:rFonts w:ascii="宋体" w:hAnsi="宋体" w:eastAsia="宋体" w:cs="宋体"/>
          <w:sz w:val="25"/>
          <w:szCs w:val="25"/>
        </w:rPr>
        <w:t>STV</w:t>
      </w:r>
      <w:r>
        <w:rPr>
          <w:rFonts w:ascii="宋体" w:hAnsi="宋体" w:eastAsia="宋体" w:cs="宋体"/>
          <w:spacing w:val="19"/>
          <w:sz w:val="25"/>
          <w:szCs w:val="25"/>
        </w:rPr>
        <w:t>8↑&gt;</w:t>
      </w:r>
      <w:r>
        <w:rPr>
          <w:rFonts w:ascii="宋体" w:hAnsi="宋体" w:eastAsia="宋体" w:cs="宋体"/>
          <w:sz w:val="25"/>
          <w:szCs w:val="25"/>
        </w:rPr>
        <w:t>STV</w:t>
      </w:r>
      <w:r>
        <w:rPr>
          <w:rFonts w:ascii="宋体" w:hAnsi="宋体" w:eastAsia="宋体" w:cs="宋体"/>
          <w:spacing w:val="19"/>
          <w:sz w:val="25"/>
          <w:szCs w:val="25"/>
        </w:rPr>
        <w:t>9个，邻壁为高侧壁和前侧壁</w:t>
      </w:r>
      <w:r>
        <w:rPr>
          <w:rFonts w:ascii="宋体" w:hAnsi="宋体" w:eastAsia="宋体" w:cs="宋体"/>
          <w:spacing w:val="-4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9"/>
          <w:sz w:val="25"/>
          <w:szCs w:val="25"/>
        </w:rPr>
        <w:t>(V5-V7),如出</w:t>
      </w:r>
      <w:r>
        <w:rPr>
          <w:rFonts w:ascii="宋体" w:hAnsi="宋体" w:eastAsia="宋体" w:cs="宋体"/>
          <w:spacing w:val="18"/>
          <w:sz w:val="25"/>
          <w:szCs w:val="25"/>
        </w:rPr>
        <w:t>现</w:t>
      </w:r>
      <w:r>
        <w:rPr>
          <w:rFonts w:ascii="宋体" w:hAnsi="宋体" w:eastAsia="宋体" w:cs="宋体"/>
          <w:spacing w:val="-75"/>
          <w:sz w:val="25"/>
          <w:szCs w:val="25"/>
        </w:rPr>
        <w:t xml:space="preserve"> </w:t>
      </w:r>
      <w:r>
        <w:rPr>
          <w:rFonts w:ascii="宋体" w:hAnsi="宋体" w:eastAsia="宋体" w:cs="宋体"/>
          <w:sz w:val="25"/>
          <w:szCs w:val="25"/>
        </w:rPr>
        <w:t>ST</w:t>
      </w:r>
      <w:r>
        <w:rPr>
          <w:rFonts w:ascii="宋体" w:hAnsi="宋体" w:eastAsia="宋体" w:cs="宋体"/>
          <w:spacing w:val="18"/>
          <w:sz w:val="25"/>
          <w:szCs w:val="25"/>
        </w:rPr>
        <w:t xml:space="preserve"> 段抬高支持诊断，对壁为前</w:t>
      </w:r>
      <w:bookmarkStart w:id="0" w:name="_GoBack"/>
      <w:bookmarkEnd w:id="0"/>
    </w:p>
    <w:p w14:paraId="3C0E6171">
      <w:pPr>
        <w:pStyle w:val="2"/>
        <w:spacing w:line="283" w:lineRule="auto"/>
      </w:pPr>
    </w:p>
    <w:p w14:paraId="1EE11F2D">
      <w:pPr>
        <w:pStyle w:val="2"/>
        <w:spacing w:line="283" w:lineRule="auto"/>
      </w:pPr>
    </w:p>
    <w:p w14:paraId="4F1BA7C9">
      <w:pPr>
        <w:pStyle w:val="2"/>
        <w:spacing w:line="283" w:lineRule="auto"/>
      </w:pPr>
    </w:p>
    <w:p w14:paraId="770FA69F">
      <w:pPr>
        <w:pStyle w:val="2"/>
        <w:spacing w:line="284" w:lineRule="auto"/>
      </w:pPr>
    </w:p>
    <w:p w14:paraId="69C6E1F0">
      <w:pPr>
        <w:spacing w:before="91" w:line="356" w:lineRule="auto"/>
        <w:ind w:left="26" w:right="96" w:firstLine="20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4"/>
          <w:sz w:val="28"/>
          <w:szCs w:val="28"/>
        </w:rPr>
        <w:t>间壁和</w:t>
      </w:r>
      <w:r>
        <w:rPr>
          <w:rFonts w:ascii="宋体" w:hAnsi="宋体" w:eastAsia="宋体" w:cs="宋体"/>
          <w:spacing w:val="-5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aVR</w:t>
      </w:r>
      <w:r>
        <w:rPr>
          <w:rFonts w:ascii="宋体" w:hAnsi="宋体" w:eastAsia="宋体" w:cs="宋体"/>
          <w:spacing w:val="-5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导联；右冠状动脉病变：本壁心电图</w:t>
      </w:r>
      <w:r>
        <w:rPr>
          <w:rFonts w:ascii="宋体" w:hAnsi="宋体" w:eastAsia="宋体" w:cs="宋体"/>
          <w:spacing w:val="-5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STV7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↑&lt;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STV8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↑&lt;STV9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↑</w:t>
      </w:r>
      <w:r>
        <w:rPr>
          <w:rFonts w:ascii="宋体" w:hAnsi="宋体" w:eastAsia="宋体" w:cs="宋体"/>
          <w:spacing w:val="-10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,</w:t>
      </w:r>
      <w:r>
        <w:rPr>
          <w:rFonts w:ascii="宋体" w:hAnsi="宋体" w:eastAsia="宋体" w:cs="宋体"/>
          <w:spacing w:val="4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邻壁为下壁（可延伸至右室</w:t>
      </w:r>
      <w:r>
        <w:rPr>
          <w:rFonts w:ascii="宋体" w:hAnsi="宋体" w:eastAsia="宋体" w:cs="宋体"/>
          <w:spacing w:val="-10"/>
          <w:sz w:val="28"/>
          <w:szCs w:val="28"/>
        </w:rPr>
        <w:t>），</w:t>
      </w:r>
      <w:r>
        <w:rPr>
          <w:rFonts w:ascii="宋体" w:hAnsi="宋体" w:eastAsia="宋体" w:cs="宋体"/>
          <w:spacing w:val="-6"/>
          <w:sz w:val="28"/>
          <w:szCs w:val="28"/>
        </w:rPr>
        <w:t>如抬高对病变血管的判断有一定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价值，对壁为高侧壁，出现</w:t>
      </w:r>
      <w:r>
        <w:rPr>
          <w:rFonts w:ascii="宋体" w:hAnsi="宋体" w:eastAsia="宋体" w:cs="宋体"/>
          <w:spacing w:val="-4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段压低比较有意义。</w:t>
      </w:r>
    </w:p>
    <w:p w14:paraId="1D863399">
      <w:pPr>
        <w:spacing w:before="1" w:line="217" w:lineRule="auto"/>
        <w:ind w:left="58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</w:rPr>
        <w:t>④</w:t>
      </w:r>
      <w:r>
        <w:rPr>
          <w:rFonts w:ascii="宋体" w:hAnsi="宋体" w:eastAsia="宋体" w:cs="宋体"/>
          <w:spacing w:val="1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前间壁</w:t>
      </w:r>
    </w:p>
    <w:p w14:paraId="504D9503">
      <w:pPr>
        <w:spacing w:before="209" w:line="356" w:lineRule="auto"/>
        <w:ind w:left="26" w:right="96" w:firstLine="56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前降支病变：本壁心电图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STV2</w:t>
      </w:r>
      <w:r>
        <w:rPr>
          <w:rFonts w:ascii="宋体" w:hAnsi="宋体" w:eastAsia="宋体" w:cs="宋体"/>
          <w:spacing w:val="-3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↑</w:t>
      </w:r>
      <w:r>
        <w:rPr>
          <w:rFonts w:ascii="宋体" w:hAnsi="宋体" w:eastAsia="宋体" w:cs="宋体"/>
          <w:spacing w:val="-11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&gt;STV1</w:t>
      </w:r>
      <w:r>
        <w:rPr>
          <w:rFonts w:ascii="宋体" w:hAnsi="宋体" w:eastAsia="宋体" w:cs="宋体"/>
          <w:spacing w:val="-3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↑</w:t>
      </w:r>
      <w:r>
        <w:rPr>
          <w:rFonts w:ascii="宋体" w:hAnsi="宋体" w:eastAsia="宋体" w:cs="宋体"/>
          <w:spacing w:val="-10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,</w:t>
      </w:r>
      <w:r>
        <w:rPr>
          <w:rFonts w:ascii="宋体" w:hAnsi="宋体" w:eastAsia="宋体" w:cs="宋体"/>
          <w:spacing w:val="7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邻壁前壁</w:t>
      </w:r>
      <w:r>
        <w:rPr>
          <w:rFonts w:ascii="宋体" w:hAnsi="宋体" w:eastAsia="宋体" w:cs="宋体"/>
          <w:spacing w:val="-5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ST</w:t>
      </w:r>
      <w:r>
        <w:rPr>
          <w:rFonts w:ascii="宋体" w:hAnsi="宋体" w:eastAsia="宋体" w:cs="宋体"/>
          <w:spacing w:val="-5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段抬高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有肯定意义，对壁后壁；右冠状动脉病变：本壁心电图STV1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↑&gt;ST</w:t>
      </w:r>
      <w:r>
        <w:rPr>
          <w:rFonts w:ascii="宋体" w:hAnsi="宋体" w:eastAsia="宋体" w:cs="宋体"/>
          <w:spacing w:val="-3"/>
          <w:sz w:val="28"/>
          <w:szCs w:val="28"/>
        </w:rPr>
        <w:t>V2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↑&gt;STV3</w:t>
      </w:r>
      <w:r>
        <w:rPr>
          <w:rFonts w:ascii="宋体" w:hAnsi="宋体" w:eastAsia="宋体" w:cs="宋体"/>
          <w:spacing w:val="-3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↑</w:t>
      </w:r>
      <w:r>
        <w:rPr>
          <w:rFonts w:ascii="宋体" w:hAnsi="宋体" w:eastAsia="宋体" w:cs="宋体"/>
          <w:spacing w:val="-10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,</w:t>
      </w:r>
      <w:r>
        <w:rPr>
          <w:rFonts w:ascii="宋体" w:hAnsi="宋体" w:eastAsia="宋体" w:cs="宋体"/>
          <w:spacing w:val="6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邻壁为右室（可以延伸到下壁</w:t>
      </w:r>
      <w:r>
        <w:rPr>
          <w:rFonts w:ascii="宋体" w:hAnsi="宋体" w:eastAsia="宋体" w:cs="宋体"/>
          <w:spacing w:val="-1"/>
          <w:sz w:val="28"/>
          <w:szCs w:val="28"/>
        </w:rPr>
        <w:t>），</w:t>
      </w:r>
      <w:r>
        <w:rPr>
          <w:rFonts w:ascii="宋体" w:hAnsi="宋体" w:eastAsia="宋体" w:cs="宋体"/>
          <w:spacing w:val="-8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8"/>
          <w:sz w:val="28"/>
          <w:szCs w:val="28"/>
        </w:rPr>
        <w:t>段抬高具有确</w:t>
      </w:r>
      <w:r>
        <w:rPr>
          <w:rFonts w:ascii="宋体" w:hAnsi="宋体" w:eastAsia="宋体" w:cs="宋体"/>
          <w:spacing w:val="-9"/>
          <w:sz w:val="28"/>
          <w:szCs w:val="28"/>
        </w:rPr>
        <w:t>定意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义，对壁为后壁。</w:t>
      </w:r>
    </w:p>
    <w:p w14:paraId="5809CC97">
      <w:pPr>
        <w:spacing w:before="1" w:line="217" w:lineRule="auto"/>
        <w:ind w:left="58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⑤ 左主干病变</w:t>
      </w:r>
    </w:p>
    <w:p w14:paraId="54A4078D">
      <w:pPr>
        <w:spacing w:before="210" w:line="356" w:lineRule="auto"/>
        <w:ind w:left="23" w:right="21" w:firstLine="59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比较特殊，相当于前降支+回旋支的闭塞，临床上病人的病情往</w:t>
      </w:r>
      <w:r>
        <w:rPr>
          <w:rFonts w:ascii="宋体" w:hAnsi="宋体" w:eastAsia="宋体" w:cs="宋体"/>
          <w:spacing w:val="4"/>
          <w:sz w:val="28"/>
          <w:szCs w:val="28"/>
        </w:rPr>
        <w:t xml:space="preserve"> 往比较危重，表现为</w:t>
      </w:r>
      <w:r>
        <w:rPr>
          <w:rFonts w:ascii="宋体" w:hAnsi="宋体" w:eastAsia="宋体" w:cs="宋体"/>
          <w:sz w:val="28"/>
          <w:szCs w:val="28"/>
        </w:rPr>
        <w:t>STEMI</w:t>
      </w:r>
      <w:r>
        <w:rPr>
          <w:rFonts w:ascii="宋体" w:hAnsi="宋体" w:eastAsia="宋体" w:cs="宋体"/>
          <w:spacing w:val="4"/>
          <w:sz w:val="28"/>
          <w:szCs w:val="28"/>
        </w:rPr>
        <w:t>合并低血压、休克、反复室性心律失常、</w:t>
      </w:r>
      <w:r>
        <w:rPr>
          <w:rFonts w:ascii="宋体" w:hAnsi="宋体" w:eastAsia="宋体" w:cs="宋体"/>
          <w:spacing w:val="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"/>
          <w:sz w:val="28"/>
          <w:szCs w:val="28"/>
        </w:rPr>
        <w:t>房室阻滞或室内阻滞。通过对左主干病变引起</w:t>
      </w:r>
      <w:r>
        <w:rPr>
          <w:rFonts w:ascii="宋体" w:hAnsi="宋体" w:eastAsia="宋体" w:cs="宋体"/>
          <w:sz w:val="28"/>
          <w:szCs w:val="28"/>
        </w:rPr>
        <w:t>STEMI</w:t>
      </w:r>
      <w:r>
        <w:rPr>
          <w:rFonts w:ascii="宋体" w:hAnsi="宋体" w:eastAsia="宋体" w:cs="宋体"/>
          <w:spacing w:val="1"/>
          <w:sz w:val="28"/>
          <w:szCs w:val="28"/>
        </w:rPr>
        <w:t>病人的心电图研</w:t>
      </w:r>
      <w:r>
        <w:rPr>
          <w:rFonts w:ascii="宋体" w:hAnsi="宋体" w:eastAsia="宋体" w:cs="宋体"/>
          <w:spacing w:val="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究发现，心电图的变化比较大，包括</w:t>
      </w:r>
      <w:r>
        <w:rPr>
          <w:rFonts w:ascii="宋体" w:hAnsi="宋体" w:eastAsia="宋体" w:cs="宋体"/>
          <w:spacing w:val="-5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aVR</w:t>
      </w:r>
      <w:r>
        <w:rPr>
          <w:rFonts w:ascii="宋体" w:hAnsi="宋体" w:eastAsia="宋体" w:cs="宋体"/>
          <w:spacing w:val="-5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导联，即可出现</w:t>
      </w:r>
      <w:r>
        <w:rPr>
          <w:rFonts w:ascii="宋体" w:hAnsi="宋体" w:eastAsia="宋体" w:cs="宋体"/>
          <w:spacing w:val="-5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sz w:val="28"/>
          <w:szCs w:val="28"/>
        </w:rPr>
        <w:t>段压低，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ST</w:t>
      </w:r>
      <w:r>
        <w:rPr>
          <w:rFonts w:ascii="宋体" w:hAnsi="宋体" w:eastAsia="宋体" w:cs="宋体"/>
          <w:spacing w:val="-5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段抬高，也可以无明显变化。</w:t>
      </w:r>
    </w:p>
    <w:p w14:paraId="69135071">
      <w:pPr>
        <w:spacing w:before="4" w:line="350" w:lineRule="auto"/>
        <w:ind w:left="26" w:right="97" w:firstLine="55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本壁心电图前壁</w:t>
      </w:r>
      <w:r>
        <w:rPr>
          <w:rFonts w:ascii="宋体" w:hAnsi="宋体" w:eastAsia="宋体" w:cs="宋体"/>
          <w:spacing w:val="-4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段抬高（尤其是</w:t>
      </w:r>
      <w:r>
        <w:rPr>
          <w:rFonts w:ascii="宋体" w:hAnsi="宋体" w:eastAsia="宋体" w:cs="宋体"/>
          <w:spacing w:val="-5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STV4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和</w:t>
      </w:r>
      <w:r>
        <w:rPr>
          <w:rFonts w:ascii="宋体" w:hAnsi="宋体" w:eastAsia="宋体" w:cs="宋体"/>
          <w:spacing w:val="-5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STV5</w:t>
      </w:r>
      <w:r>
        <w:rPr>
          <w:rFonts w:ascii="宋体" w:hAnsi="宋体" w:eastAsia="宋体" w:cs="宋体"/>
          <w:spacing w:val="-5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抬高比</w:t>
      </w:r>
      <w:r>
        <w:rPr>
          <w:rFonts w:ascii="宋体" w:hAnsi="宋体" w:eastAsia="宋体" w:cs="宋体"/>
          <w:spacing w:val="-5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STV2、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STV3</w:t>
      </w:r>
      <w:r>
        <w:rPr>
          <w:rFonts w:ascii="宋体" w:hAnsi="宋体" w:eastAsia="宋体" w:cs="宋体"/>
          <w:spacing w:val="-5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导联明显</w:t>
      </w:r>
      <w:r>
        <w:rPr>
          <w:rFonts w:ascii="宋体" w:hAnsi="宋体" w:eastAsia="宋体" w:cs="宋体"/>
          <w:spacing w:val="8"/>
          <w:sz w:val="28"/>
          <w:szCs w:val="28"/>
        </w:rPr>
        <w:t>），</w:t>
      </w:r>
      <w:r>
        <w:rPr>
          <w:rFonts w:ascii="宋体" w:hAnsi="宋体" w:eastAsia="宋体" w:cs="宋体"/>
          <w:spacing w:val="-4"/>
          <w:sz w:val="28"/>
          <w:szCs w:val="28"/>
        </w:rPr>
        <w:t>伴随其他改变：①邻壁为高侧壁，尤其是</w:t>
      </w:r>
      <w:r>
        <w:rPr>
          <w:rFonts w:ascii="宋体" w:hAnsi="宋体" w:eastAsia="宋体" w:cs="宋体"/>
          <w:spacing w:val="-5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STI</w:t>
      </w:r>
      <w:r>
        <w:rPr>
          <w:rFonts w:ascii="宋体" w:hAnsi="宋体" w:eastAsia="宋体" w:cs="宋体"/>
          <w:spacing w:val="-3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↑&gt;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5"/>
          <w:sz w:val="28"/>
          <w:szCs w:val="28"/>
        </w:rPr>
        <w:t>STaVL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5"/>
          <w:sz w:val="28"/>
          <w:szCs w:val="28"/>
        </w:rPr>
        <w:t>↑</w:t>
      </w:r>
      <w:r>
        <w:rPr>
          <w:rFonts w:ascii="宋体" w:hAnsi="宋体" w:eastAsia="宋体" w:cs="宋体"/>
          <w:spacing w:val="-10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5"/>
          <w:sz w:val="28"/>
          <w:szCs w:val="28"/>
        </w:rPr>
        <w:t>;</w:t>
      </w:r>
      <w:r>
        <w:rPr>
          <w:rFonts w:ascii="宋体" w:hAnsi="宋体" w:eastAsia="宋体" w:cs="宋体"/>
          <w:spacing w:val="6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5"/>
          <w:sz w:val="28"/>
          <w:szCs w:val="28"/>
        </w:rPr>
        <w:t>②邻壁为后壁；③邻壁为下壁，且</w:t>
      </w:r>
      <w:r>
        <w:rPr>
          <w:rFonts w:ascii="宋体" w:hAnsi="宋体" w:eastAsia="宋体" w:cs="宋体"/>
          <w:spacing w:val="-5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5"/>
          <w:sz w:val="28"/>
          <w:szCs w:val="28"/>
        </w:rPr>
        <w:t>STII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5"/>
          <w:sz w:val="28"/>
          <w:szCs w:val="28"/>
        </w:rPr>
        <w:t>↑&gt;STI</w:t>
      </w:r>
      <w:r>
        <w:rPr>
          <w:rFonts w:ascii="宋体" w:hAnsi="宋体" w:eastAsia="宋体" w:cs="宋体"/>
          <w:spacing w:val="-16"/>
          <w:sz w:val="28"/>
          <w:szCs w:val="28"/>
        </w:rPr>
        <w:t>II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6"/>
          <w:sz w:val="28"/>
          <w:szCs w:val="28"/>
        </w:rPr>
        <w:t>↑</w:t>
      </w:r>
      <w:r>
        <w:rPr>
          <w:rFonts w:ascii="宋体" w:hAnsi="宋体" w:eastAsia="宋体" w:cs="宋体"/>
          <w:spacing w:val="-10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6"/>
          <w:sz w:val="28"/>
          <w:szCs w:val="28"/>
        </w:rPr>
        <w:t>;</w:t>
      </w:r>
      <w:r>
        <w:rPr>
          <w:rFonts w:ascii="宋体" w:hAnsi="宋体" w:eastAsia="宋体" w:cs="宋体"/>
          <w:spacing w:val="6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6"/>
          <w:sz w:val="28"/>
          <w:szCs w:val="28"/>
        </w:rPr>
        <w:t>④心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房梗死；⑤aVR</w:t>
      </w:r>
      <w:r>
        <w:rPr>
          <w:rFonts w:ascii="宋体" w:hAnsi="宋体" w:eastAsia="宋体" w:cs="宋体"/>
          <w:spacing w:val="-4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导联</w:t>
      </w:r>
      <w:r>
        <w:rPr>
          <w:rFonts w:ascii="宋体" w:hAnsi="宋体" w:eastAsia="宋体" w:cs="宋体"/>
          <w:spacing w:val="-5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ST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段抬高，且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STaVR</w:t>
      </w:r>
      <w:r>
        <w:rPr>
          <w:rFonts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↑&gt; STV1</w:t>
      </w:r>
      <w:r>
        <w:rPr>
          <w:rFonts w:ascii="宋体" w:hAnsi="宋体" w:eastAsia="宋体" w:cs="宋体"/>
          <w:spacing w:val="-3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↑。</w:t>
      </w:r>
    </w:p>
    <w:p w14:paraId="3FDB1633">
      <w:pPr>
        <w:spacing w:before="1" w:line="227" w:lineRule="auto"/>
        <w:ind w:left="213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</w:rPr>
        <w:t>STEM</w:t>
      </w:r>
      <w:r>
        <w:rPr>
          <w:rFonts w:ascii="黑体" w:hAnsi="黑体" w:eastAsia="黑体" w:cs="黑体"/>
          <w:spacing w:val="-86"/>
          <w:sz w:val="31"/>
          <w:szCs w:val="31"/>
        </w:rPr>
        <w:t xml:space="preserve"> </w:t>
      </w:r>
      <w:r>
        <w:rPr>
          <w:rFonts w:ascii="黑体" w:hAnsi="黑体" w:eastAsia="黑体" w:cs="黑体"/>
          <w:sz w:val="31"/>
          <w:szCs w:val="31"/>
        </w:rPr>
        <w:t>I</w:t>
      </w:r>
      <w:r>
        <w:rPr>
          <w:rFonts w:ascii="黑体" w:hAnsi="黑体" w:eastAsia="黑体" w:cs="黑体"/>
          <w:spacing w:val="12"/>
          <w:sz w:val="31"/>
          <w:szCs w:val="31"/>
        </w:rPr>
        <w:t>心电图快速定位的临床意义</w:t>
      </w:r>
    </w:p>
    <w:p w14:paraId="78DBE0D1">
      <w:pPr>
        <w:spacing w:before="190" w:line="356" w:lineRule="auto"/>
        <w:ind w:left="27" w:firstLine="55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STEMI</w:t>
      </w:r>
      <w:r>
        <w:rPr>
          <w:rFonts w:ascii="宋体" w:hAnsi="宋体" w:eastAsia="宋体" w:cs="宋体"/>
          <w:spacing w:val="-3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"/>
          <w:sz w:val="28"/>
          <w:szCs w:val="28"/>
        </w:rPr>
        <w:t>的心电图的快速诊断具有重要意义。它不仅是对STEMI</w:t>
      </w:r>
      <w:r>
        <w:rPr>
          <w:rFonts w:ascii="宋体" w:hAnsi="宋体" w:eastAsia="宋体" w:cs="宋体"/>
          <w:spacing w:val="-3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"/>
          <w:sz w:val="28"/>
          <w:szCs w:val="28"/>
        </w:rPr>
        <w:t>的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单纯诊断，同时也是快速明确诊断，提示尽早</w:t>
      </w:r>
      <w:r>
        <w:rPr>
          <w:rFonts w:ascii="宋体" w:hAnsi="宋体" w:eastAsia="宋体" w:cs="宋体"/>
          <w:spacing w:val="-10"/>
          <w:sz w:val="28"/>
          <w:szCs w:val="28"/>
        </w:rPr>
        <w:t>实施心肌的再灌注治疗。</w:t>
      </w:r>
    </w:p>
    <w:p w14:paraId="74511672">
      <w:pPr>
        <w:spacing w:before="2" w:line="357" w:lineRule="auto"/>
        <w:ind w:left="23" w:right="97" w:firstLine="55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对于掌握心电图快速定位的心血管介入医师，可以针对初步判断</w:t>
      </w:r>
      <w:r>
        <w:rPr>
          <w:rFonts w:ascii="宋体" w:hAnsi="宋体" w:eastAsia="宋体" w:cs="宋体"/>
          <w:spacing w:val="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"/>
          <w:sz w:val="28"/>
          <w:szCs w:val="28"/>
        </w:rPr>
        <w:t>梗死相关血管，便于快速、针对性的介入治疗。</w:t>
      </w:r>
    </w:p>
    <w:p w14:paraId="6F603D50">
      <w:pPr>
        <w:spacing w:line="357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400" w:right="1701" w:bottom="0" w:left="1785" w:header="0" w:footer="0" w:gutter="0"/>
          <w:cols w:space="720" w:num="1"/>
        </w:sectPr>
      </w:pPr>
    </w:p>
    <w:p w14:paraId="1A9F9F72">
      <w:pPr>
        <w:pStyle w:val="2"/>
        <w:spacing w:line="270" w:lineRule="auto"/>
      </w:pPr>
    </w:p>
    <w:p w14:paraId="17FB632B">
      <w:pPr>
        <w:pStyle w:val="2"/>
        <w:spacing w:line="271" w:lineRule="auto"/>
      </w:pPr>
    </w:p>
    <w:p w14:paraId="5AF94655">
      <w:pPr>
        <w:pStyle w:val="2"/>
        <w:spacing w:line="271" w:lineRule="auto"/>
      </w:pPr>
    </w:p>
    <w:p w14:paraId="128F0F95">
      <w:pPr>
        <w:pStyle w:val="2"/>
        <w:spacing w:line="271" w:lineRule="auto"/>
      </w:pPr>
    </w:p>
    <w:p w14:paraId="6D1FDB57">
      <w:pPr>
        <w:spacing w:line="5830" w:lineRule="exact"/>
      </w:pPr>
      <w:r>
        <w:rPr>
          <w:position w:val="-116"/>
        </w:rPr>
        <w:drawing>
          <wp:inline distT="0" distB="0" distL="0" distR="0">
            <wp:extent cx="4806950" cy="370205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07022" cy="3702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47B7C">
      <w:pPr>
        <w:spacing w:before="229" w:line="371" w:lineRule="auto"/>
        <w:ind w:left="50" w:right="29" w:firstLine="560"/>
        <w:jc w:val="both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6"/>
          <w:sz w:val="27"/>
          <w:szCs w:val="27"/>
        </w:rPr>
        <w:t>心电图的快速定位有助于对病人病情的判断，</w:t>
      </w:r>
      <w:r>
        <w:rPr>
          <w:rFonts w:ascii="宋体" w:hAnsi="宋体" w:eastAsia="宋体" w:cs="宋体"/>
          <w:spacing w:val="5"/>
          <w:sz w:val="27"/>
          <w:szCs w:val="27"/>
        </w:rPr>
        <w:t>对于梗死面积大高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6"/>
          <w:sz w:val="27"/>
          <w:szCs w:val="27"/>
        </w:rPr>
        <w:t>危的病人，除了进行介入治疗尽早开通血管以外，也要充分做好必要</w:t>
      </w:r>
      <w:r>
        <w:rPr>
          <w:rFonts w:ascii="宋体" w:hAnsi="宋体" w:eastAsia="宋体" w:cs="宋体"/>
          <w:spacing w:val="3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7"/>
          <w:sz w:val="27"/>
          <w:szCs w:val="27"/>
        </w:rPr>
        <w:t>的抢救准备，与家属充分沟通病情。</w:t>
      </w:r>
    </w:p>
    <w:sectPr>
      <w:pgSz w:w="11910" w:h="16840"/>
      <w:pgMar w:top="400" w:right="1786" w:bottom="0" w:left="17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5C6BF"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4E3E89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BC511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1"/>
    <customShpInfo spid="_x0000_s1032"/>
    <customShpInfo spid="_x0000_s1030"/>
    <customShpInfo spid="_x0000_s1033"/>
    <customShpInfo spid="_x0000_s1034"/>
    <customShpInfo spid="_x0000_s1036"/>
    <customShpInfo spid="_x0000_s1037"/>
    <customShpInfo spid="_x0000_s1038"/>
    <customShpInfo spid="_x0000_s1039"/>
    <customShpInfo spid="_x0000_s1040"/>
    <customShpInfo spid="_x0000_s1035"/>
    <customShpInfo spid="_x0000_s1042"/>
    <customShpInfo spid="_x0000_s1043"/>
    <customShpInfo spid="_x0000_s1044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2521</Words>
  <Characters>2935</Characters>
  <TotalTime>0</TotalTime>
  <ScaleCrop>false</ScaleCrop>
  <LinksUpToDate>false</LinksUpToDate>
  <CharactersWithSpaces>3294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2025-07-01T21:18:00Z</dcterms:created>
  <dc:creator>Administrator</dc:creator>
  <cp:lastModifiedBy>王冰硕</cp:lastModifiedBy>
  <dcterms:modified xsi:type="dcterms:W3CDTF">2025-07-01T13:19:04Z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2025-07-01T21:18:12Z</vt:filetime>
  </property>
  <property fmtid="{D5CDD505-2E9C-101B-9397-08002B2CF9AE}" pid="4" name="UsrData">
    <vt:lpwstr>6863e01174298c001fa2af47wl</vt:lpwstr>
  </property>
  <property fmtid="{D5CDD505-2E9C-101B-9397-08002B2CF9AE}" pid="5" name="KSOTemplateDocerSaveRecord">
    <vt:lpwstr>eyJoZGlkIjoiODlkNDZkMTA3NGQ0YzMzZTlkYTM3NDA0ODM2MGIwOTAiLCJ1c2VySWQiOiIxNjg5MzI1NzM4In0=</vt:lpwstr>
  </property>
  <property fmtid="{D5CDD505-2E9C-101B-9397-08002B2CF9AE}" pid="6" name="KSOProductBuildVer">
    <vt:lpwstr>2052-12.1.0.21541</vt:lpwstr>
  </property>
  <property fmtid="{D5CDD505-2E9C-101B-9397-08002B2CF9AE}" pid="7" name="ICV">
    <vt:lpwstr>C621C26C39AA4C24A79FC37C21EF98CD_12</vt:lpwstr>
  </property>
</Properties>
</file>