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8070112"/>
      <w:bookmarkStart w:id="1" w:name="_Toc517262917"/>
      <w:bookmarkStart w:id="2" w:name="OLE_LINK39"/>
      <w:bookmarkStart w:id="3" w:name="OLE_LINK40"/>
      <w:bookmarkStart w:id="4" w:name="_Toc453597319"/>
      <w:bookmarkStart w:id="5" w:name="OLE_LINK24"/>
      <w:bookmarkStart w:id="6" w:name="_Hlk23501351"/>
      <w:bookmarkStart w:id="7" w:name="_Toc415143481"/>
      <w:bookmarkStart w:id="8" w:name="OLE_LINK13"/>
      <w:bookmarkStart w:id="9" w:name="_Toc438987549"/>
      <w:bookmarkStart w:id="10" w:name="_Toc415142861"/>
      <w:bookmarkStart w:id="11" w:name="_Toc481801204"/>
      <w:bookmarkStart w:id="12" w:name="_Toc415818939"/>
      <w:bookmarkStart w:id="13" w:name="OLE_LINK15"/>
      <w:r>
        <w:rPr>
          <w:sz w:val="24"/>
        </w:rPr>
        <mc:AlternateContent>
          <mc:Choice Requires="wps">
            <w:drawing>
              <wp:anchor distT="0" distB="0" distL="114300" distR="114300" simplePos="0" relativeHeight="251661312" behindDoc="0" locked="0" layoutInCell="1" allowOverlap="1">
                <wp:simplePos x="0" y="0"/>
                <wp:positionH relativeFrom="column">
                  <wp:posOffset>255905</wp:posOffset>
                </wp:positionH>
                <wp:positionV relativeFrom="paragraph">
                  <wp:posOffset>1416050</wp:posOffset>
                </wp:positionV>
                <wp:extent cx="5761990" cy="1562735"/>
                <wp:effectExtent l="0" t="0" r="10160" b="18415"/>
                <wp:wrapNone/>
                <wp:docPr id="56" name="文本框 56"/>
                <wp:cNvGraphicFramePr/>
                <a:graphic xmlns:a="http://schemas.openxmlformats.org/drawingml/2006/main">
                  <a:graphicData uri="http://schemas.microsoft.com/office/word/2010/wordprocessingShape">
                    <wps:wsp>
                      <wps:cNvSpPr txBox="1"/>
                      <wps:spPr>
                        <a:xfrm>
                          <a:off x="1651635" y="2068195"/>
                          <a:ext cx="5761990" cy="15627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widowControl/>
                              <w:topLinePunct w:val="0"/>
                              <w:jc w:val="center"/>
                              <w:rPr>
                                <w:rFonts w:hint="eastAsia" w:ascii="宋体" w:hAnsi="宋体" w:cs="宋体"/>
                                <w:sz w:val="72"/>
                                <w:szCs w:val="72"/>
                                <w:lang w:val="en-US" w:eastAsia="zh-CN"/>
                              </w:rPr>
                            </w:pPr>
                            <w:r>
                              <w:rPr>
                                <w:rFonts w:hint="eastAsia" w:ascii="宋体" w:hAnsi="宋体" w:cs="宋体"/>
                                <w:sz w:val="72"/>
                                <w:szCs w:val="72"/>
                                <w:lang w:val="en-US" w:eastAsia="zh-CN"/>
                              </w:rPr>
                              <w:t>全球及中国汽车电子油泵</w:t>
                            </w:r>
                            <w:r>
                              <w:rPr>
                                <w:rFonts w:hint="eastAsia" w:ascii="宋体" w:hAnsi="宋体" w:cs="宋体"/>
                                <w:sz w:val="72"/>
                                <w:szCs w:val="72"/>
                                <w:lang w:val="en-US" w:eastAsia="zh-CN"/>
                              </w:rPr>
                              <w:fldChar w:fldCharType="begin"/>
                            </w:r>
                            <w:r>
                              <w:rPr>
                                <w:rFonts w:hint="eastAsia" w:ascii="宋体" w:hAnsi="宋体" w:cs="宋体"/>
                                <w:sz w:val="72"/>
                                <w:szCs w:val="72"/>
                                <w:lang w:val="en-US" w:eastAsia="zh-CN"/>
                              </w:rPr>
                              <w:instrText xml:space="preserve"> HYPERLINK "https://www.renrendoc.com/paper/299540813.html" \t "https://www.renrendoc.com/renrendoc_v1/MCBookList/_blank" </w:instrText>
                            </w:r>
                            <w:r>
                              <w:rPr>
                                <w:rFonts w:hint="eastAsia" w:ascii="宋体" w:hAnsi="宋体" w:cs="宋体"/>
                                <w:sz w:val="72"/>
                                <w:szCs w:val="72"/>
                                <w:lang w:val="en-US" w:eastAsia="zh-CN"/>
                              </w:rPr>
                              <w:fldChar w:fldCharType="separate"/>
                            </w:r>
                            <w:r>
                              <w:rPr>
                                <w:rFonts w:hint="eastAsia" w:ascii="宋体" w:hAnsi="宋体" w:cs="宋体"/>
                                <w:sz w:val="72"/>
                                <w:szCs w:val="72"/>
                                <w:lang w:val="en-US" w:eastAsia="zh-CN"/>
                              </w:rPr>
                              <w:t>行业市场份额调研报告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5pt;margin-top:111.5pt;height:123.05pt;width:453.7pt;z-index:251661312;mso-width-relative:page;mso-height-relative:page;" fillcolor="#FFFFFF [3201]" filled="t" stroked="f" coordsize="21600,21600" o:gfxdata="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us&#10;rKnVAAAACgEAAA8AAAAAAAAAAQAgAAAAIgAAAGRycy9kb3ducmV2LnhtbFBLAQIUABQAAAAIAIdO&#10;4kCL8EU8XwIAAJ4EAAAOAAAAAAAAAAEAIAAAACQBAABkcnMvZTJvRG9jLnhtbFBLBQYAAAAABgAG&#10;AFkBAAD1BQAAAAA=&#10;">
                <v:fill on="t" focussize="0,0"/>
                <v:stroke on="f" weight="0.5pt"/>
                <v:imagedata o:title=""/>
                <o:lock v:ext="edit" aspectratio="f"/>
                <v:textbox>
                  <w:txbxContent>
                    <w:p>
                      <w:pPr>
                        <w:widowControl/>
                        <w:topLinePunct w:val="0"/>
                        <w:jc w:val="center"/>
                        <w:rPr>
                          <w:rFonts w:hint="eastAsia" w:ascii="宋体" w:hAnsi="宋体" w:cs="宋体"/>
                          <w:sz w:val="72"/>
                          <w:szCs w:val="72"/>
                          <w:lang w:val="en-US" w:eastAsia="zh-CN"/>
                        </w:rPr>
                      </w:pPr>
                      <w:r>
                        <w:rPr>
                          <w:rFonts w:hint="eastAsia" w:ascii="宋体" w:hAnsi="宋体" w:cs="宋体"/>
                          <w:sz w:val="72"/>
                          <w:szCs w:val="72"/>
                          <w:lang w:val="en-US" w:eastAsia="zh-CN"/>
                        </w:rPr>
                        <w:t>全球及中国汽车电子油泵</w:t>
                      </w:r>
                      <w:r>
                        <w:rPr>
                          <w:rFonts w:hint="eastAsia" w:ascii="宋体" w:hAnsi="宋体" w:cs="宋体"/>
                          <w:sz w:val="72"/>
                          <w:szCs w:val="72"/>
                          <w:lang w:val="en-US" w:eastAsia="zh-CN"/>
                        </w:rPr>
                        <w:fldChar w:fldCharType="begin"/>
                      </w:r>
                      <w:r>
                        <w:rPr>
                          <w:rFonts w:hint="eastAsia" w:ascii="宋体" w:hAnsi="宋体" w:cs="宋体"/>
                          <w:sz w:val="72"/>
                          <w:szCs w:val="72"/>
                          <w:lang w:val="en-US" w:eastAsia="zh-CN"/>
                        </w:rPr>
                        <w:instrText xml:space="preserve"> HYPERLINK "https://www.renrendoc.com/paper/299540813.html" \t "https://www.renrendoc.com/renrendoc_v1/MCBookList/_blank" </w:instrText>
                      </w:r>
                      <w:r>
                        <w:rPr>
                          <w:rFonts w:hint="eastAsia" w:ascii="宋体" w:hAnsi="宋体" w:cs="宋体"/>
                          <w:sz w:val="72"/>
                          <w:szCs w:val="72"/>
                          <w:lang w:val="en-US" w:eastAsia="zh-CN"/>
                        </w:rPr>
                        <w:fldChar w:fldCharType="separate"/>
                      </w:r>
                      <w:r>
                        <w:rPr>
                          <w:rFonts w:hint="eastAsia" w:ascii="宋体" w:hAnsi="宋体" w:cs="宋体"/>
                          <w:sz w:val="72"/>
                          <w:szCs w:val="72"/>
                          <w:lang w:val="en-US" w:eastAsia="zh-CN"/>
                        </w:rPr>
                        <w:t>行业市场份额调研报告</w:t>
                      </w:r>
                      <w:r>
                        <w:rPr>
                          <w:rFonts w:hint="eastAsia" w:ascii="宋体" w:hAnsi="宋体" w:cs="宋体"/>
                          <w:sz w:val="72"/>
                          <w:szCs w:val="72"/>
                          <w:lang w:val="en-US" w:eastAsia="zh-CN"/>
                        </w:rPr>
                        <w:fldChar w:fldCharType="end"/>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7"/>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r>
        <w:rPr>
          <w:rFonts w:hint="eastAsia"/>
          <w:lang w:eastAsia="zh-CN"/>
        </w:rPr>
        <w:t>据调研团队最新报告“全球汽车电子油泵市场报告2023-2029”显示，预计2029年全球汽车电子油泵市场规模将达到15.9亿美元，未来几年年复合增长率CAGR为17.0%。</w:t>
      </w:r>
    </w:p>
    <w:p>
      <w:pPr>
        <w:pStyle w:val="145"/>
        <w:rPr>
          <w:lang w:eastAsia="zh-CN"/>
        </w:rPr>
      </w:pPr>
    </w:p>
    <w:p>
      <w:pPr>
        <w:pStyle w:val="148"/>
        <w:rPr>
          <w:lang w:eastAsia="zh-CN"/>
        </w:rPr>
      </w:pPr>
      <w:r>
        <w:rPr>
          <w:lang w:eastAsia="zh-CN"/>
        </w:rPr>
        <w:t>汽车电子油泵</w:t>
      </w:r>
      <w:r>
        <w:rPr>
          <w:rFonts w:hint="eastAsia"/>
          <w:lang w:eastAsia="zh-CN"/>
        </w:rPr>
        <w:t>，全球市场总体规模，预计2</w:t>
      </w:r>
      <w:r>
        <w:rPr>
          <w:lang w:eastAsia="zh-CN"/>
        </w:rPr>
        <w:t>029</w:t>
      </w:r>
      <w:r>
        <w:rPr>
          <w:rFonts w:hint="eastAsia"/>
          <w:lang w:eastAsia="zh-CN"/>
        </w:rPr>
        <w:t>年达到</w:t>
      </w:r>
      <w:r>
        <w:rPr>
          <w:lang w:eastAsia="zh-CN"/>
        </w:rPr>
        <w:t>15.9</w:t>
      </w:r>
      <w:r>
        <w:rPr>
          <w:rFonts w:hint="eastAsia"/>
          <w:lang w:eastAsia="zh-CN"/>
        </w:rPr>
        <w:t>亿美元</w:t>
      </w:r>
    </w:p>
    <w:p>
      <w:pPr>
        <w:pStyle w:val="145"/>
      </w:pPr>
      <w:r>
        <w:rPr>
          <w:lang w:val="en-US" w:eastAsia="zh-CN"/>
        </w:rPr>
        <w:drawing>
          <wp:inline distT="0" distB="0" distL="0" distR="0">
            <wp:extent cx="6188710" cy="2936875"/>
            <wp:effectExtent l="0" t="0" r="2540" b="158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rPr>
          <w:lang w:eastAsia="zh-CN"/>
        </w:rPr>
      </w:pPr>
      <w:r>
        <w:rPr>
          <w:rFonts w:hint="eastAsia"/>
          <w:lang w:eastAsia="zh-CN"/>
        </w:rPr>
        <w:t>如上图表/数据，摘自QYResearch最新报告“全球</w:t>
      </w:r>
      <w:r>
        <w:rPr>
          <w:lang w:eastAsia="zh-CN"/>
        </w:rPr>
        <w:t>汽车电子油泵</w:t>
      </w:r>
      <w:r>
        <w:rPr>
          <w:rFonts w:hint="eastAsia"/>
          <w:lang w:eastAsia="zh-CN"/>
        </w:rPr>
        <w:t>市场研究报告2023-2029</w:t>
      </w:r>
      <w:r>
        <w:rPr>
          <w:lang w:eastAsia="zh-CN"/>
        </w:rPr>
        <w:t>.</w:t>
      </w:r>
    </w:p>
    <w:p>
      <w:pPr>
        <w:pStyle w:val="145"/>
        <w:rPr>
          <w:lang w:eastAsia="zh-CN"/>
        </w:rPr>
      </w:pPr>
      <w:r>
        <w:rPr>
          <w:rFonts w:hint="eastAsia"/>
          <w:lang w:eastAsia="zh-CN"/>
        </w:rPr>
        <w:t>汽车电子油泵是一种利用电子技术控制的油泵，通常用于现代车辆的燃油系统。它与传统的机械油泵相比，具有更高的精密度和可控性。用于启停系统、电动汽车润滑自动变速箱/无级变速箱。</w:t>
      </w:r>
    </w:p>
    <w:p>
      <w:pPr>
        <w:pStyle w:val="145"/>
        <w:rPr>
          <w:rFonts w:hint="eastAsia"/>
          <w:lang w:eastAsia="zh-CN"/>
        </w:rPr>
      </w:pPr>
      <w:r>
        <w:rPr>
          <w:lang w:val="en-US" w:eastAsia="zh-CN"/>
        </w:rPr>
        <w:drawing>
          <wp:inline distT="0" distB="0" distL="0" distR="0">
            <wp:extent cx="2209165" cy="2228215"/>
            <wp:effectExtent l="0" t="0" r="63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2209524" cy="2228571"/>
                    </a:xfrm>
                    <a:prstGeom prst="rect">
                      <a:avLst/>
                    </a:prstGeom>
                  </pic:spPr>
                </pic:pic>
              </a:graphicData>
            </a:graphic>
          </wp:inline>
        </w:drawing>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新能源汽车是该行业最直接的驱动因素。全球电动汽车持续快速增长，2022年全球新能源汽车总销量突破了1000万辆，同步增长61%。中国和欧洲成为推动全球电动汽车销量强劲增长的主要动力。2022年，中国新能源汽车产销量分别达到705.8万辆和688.7万辆，同比增长96.9%和93.4%，新能源汽车产销量已连续8年位居全球第一。其中，纯电动汽车销量536.5万辆，同比增长81.6%。2022年，欧洲纯电动汽车销量同比上涨29%，至158万辆。</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汽车行业周期性下滑。行业竞争激烈。原材料价格上涨带来风险。</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全球更严格的排放法规正在推动汽车制造商提高燃油效率并减少排放。电子油泵可以通过提供精确的油流量控制、减少摩擦并提高发动机的整体性能来提高发动机效率。随着监管不断收紧，对此类系统的需求可能会增长。电动和混合动力汽车的持续转变为电子油泵创造了机会。这些车辆需要高效的润滑系统来优化其电动传动系统的性能，并冷却和润滑其部件。传统车辆越来越多地采用启停系统来节省燃油和减少排放，这也有利于电子油泵。这些系统在车辆静止时关闭发动机，并在需要时重新启动。电子油泵可以帮助在发动机停机期间维持油压，减少磨损并提高启动性能。</w:t>
      </w:r>
    </w:p>
    <w:p>
      <w:pPr>
        <w:pStyle w:val="145"/>
        <w:rPr>
          <w:lang w:eastAsia="zh-CN"/>
        </w:rPr>
      </w:pPr>
    </w:p>
    <w:p>
      <w:pPr>
        <w:pStyle w:val="148"/>
        <w:rPr>
          <w:lang w:eastAsia="zh-CN"/>
        </w:rPr>
      </w:pPr>
      <w:r>
        <w:rPr>
          <w:rFonts w:hint="eastAsia"/>
          <w:lang w:eastAsia="zh-CN"/>
        </w:rPr>
        <w:t>全球</w:t>
      </w:r>
      <w:r>
        <w:rPr>
          <w:lang w:eastAsia="zh-CN"/>
        </w:rPr>
        <w:t>汽车电子油泵</w:t>
      </w:r>
      <w:r>
        <w:rPr>
          <w:rFonts w:hint="eastAsia"/>
          <w:lang w:eastAsia="zh-CN"/>
        </w:rPr>
        <w:t>市场前</w:t>
      </w:r>
      <w:r>
        <w:rPr>
          <w:lang w:eastAsia="zh-CN"/>
        </w:rPr>
        <w:t>15</w:t>
      </w:r>
      <w:r>
        <w:rPr>
          <w:rFonts w:hint="eastAsia"/>
          <w:lang w:eastAsia="zh-CN"/>
        </w:rPr>
        <w:t>强生产商排名及市场占有率（持续更新）</w:t>
      </w:r>
    </w:p>
    <w:p>
      <w:pPr>
        <w:pStyle w:val="145"/>
        <w:jc w:val="center"/>
      </w:pPr>
      <w:r>
        <w:rPr>
          <w:lang w:val="en-US" w:eastAsia="zh-CN"/>
        </w:rPr>
        <w:drawing>
          <wp:inline distT="0" distB="0" distL="0" distR="0">
            <wp:extent cx="6155690" cy="4399915"/>
            <wp:effectExtent l="0" t="0" r="1651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汽车电子油泵</w:t>
      </w:r>
      <w:r>
        <w:rPr>
          <w:rFonts w:hint="eastAsia"/>
          <w:lang w:eastAsia="zh-CN"/>
        </w:rPr>
        <w:t>市场研究报告2023-2029</w:t>
      </w:r>
      <w:r>
        <w:rPr>
          <w:lang w:eastAsia="zh-CN"/>
        </w:rPr>
        <w:t>.</w:t>
      </w:r>
    </w:p>
    <w:p>
      <w:pPr>
        <w:pStyle w:val="145"/>
        <w:rPr>
          <w:lang w:eastAsia="zh-CN"/>
        </w:rPr>
      </w:pPr>
      <w:r>
        <w:rPr>
          <w:rFonts w:hint="eastAsia"/>
          <w:lang w:eastAsia="zh-CN"/>
        </w:rPr>
        <w:t>全球范围内汽车电子油泵生产商主要包括Nidec Corporation、Sanhua、Rheinmetall Automotive、SHW Group、Aisin、Hanon Systems、JTEKT、FTE Automotive、Mitsubishi Electric、Buehler Motor等。2022年，全球前五大厂商占有大约59.0%的市场份额。</w:t>
      </w:r>
    </w:p>
    <w:p>
      <w:pPr>
        <w:pStyle w:val="145"/>
      </w:pPr>
    </w:p>
    <w:p>
      <w:pPr>
        <w:pStyle w:val="148"/>
        <w:rPr>
          <w:lang w:eastAsia="zh-CN"/>
        </w:rPr>
      </w:pPr>
      <w:r>
        <w:rPr>
          <w:lang w:eastAsia="zh-CN"/>
        </w:rPr>
        <w:t>汽车电子油泵</w:t>
      </w:r>
      <w:r>
        <w:rPr>
          <w:rFonts w:hint="eastAsia"/>
          <w:lang w:eastAsia="zh-CN"/>
        </w:rPr>
        <w:t>，全球市场规模，按产品类型细分，集成式处于主导地位</w:t>
      </w:r>
    </w:p>
    <w:p>
      <w:pPr>
        <w:pStyle w:val="145"/>
        <w:rPr>
          <w:lang w:val="en-US" w:eastAsia="zh-CN"/>
        </w:rPr>
      </w:pPr>
      <w:r>
        <w:rPr>
          <w:lang w:val="en-US" w:eastAsia="zh-CN"/>
        </w:rPr>
        <w:drawing>
          <wp:inline distT="0" distB="0" distL="0" distR="0">
            <wp:extent cx="2870835" cy="3039745"/>
            <wp:effectExtent l="0" t="0" r="5715" b="825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lang w:val="en-US" w:eastAsia="zh-CN"/>
        </w:rPr>
        <w:drawing>
          <wp:inline distT="0" distB="0" distL="0" distR="0">
            <wp:extent cx="2870835" cy="3039745"/>
            <wp:effectExtent l="0" t="0" r="5715" b="825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5"/>
        <w:rPr>
          <w:lang w:eastAsia="zh-CN"/>
        </w:rPr>
      </w:pPr>
      <w:r>
        <w:rPr>
          <w:lang w:val="en-US" w:eastAsia="zh-CN"/>
        </w:rPr>
        <w:drawing>
          <wp:inline distT="0" distB="0" distL="0" distR="0">
            <wp:extent cx="6155690" cy="3059430"/>
            <wp:effectExtent l="0" t="0" r="16510" b="762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3"/>
        <w:rPr>
          <w:lang w:eastAsia="zh-CN"/>
        </w:rPr>
      </w:pPr>
      <w:r>
        <w:rPr>
          <w:rFonts w:hint="eastAsia"/>
          <w:lang w:eastAsia="zh-CN"/>
        </w:rPr>
        <w:t>如上图表/数据，摘自QYResearch最新报告“全球</w:t>
      </w:r>
      <w:r>
        <w:rPr>
          <w:lang w:eastAsia="zh-CN"/>
        </w:rPr>
        <w:t>汽车电子油泵</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就产品类型而言，目前集成式是最主要的细分产品，占据大约70.4%的份额。</w:t>
      </w:r>
    </w:p>
    <w:p>
      <w:pPr>
        <w:pStyle w:val="145"/>
        <w:rPr>
          <w:lang w:eastAsia="zh-CN"/>
        </w:rPr>
      </w:pPr>
    </w:p>
    <w:p>
      <w:pPr>
        <w:pStyle w:val="145"/>
        <w:rPr>
          <w:lang w:eastAsia="zh-CN"/>
        </w:rPr>
      </w:pPr>
    </w:p>
    <w:p>
      <w:pPr>
        <w:pStyle w:val="145"/>
        <w:rPr>
          <w:lang w:eastAsia="zh-CN"/>
        </w:rPr>
      </w:pPr>
    </w:p>
    <w:p>
      <w:pPr>
        <w:pStyle w:val="148"/>
        <w:rPr>
          <w:lang w:eastAsia="zh-CN"/>
        </w:rPr>
      </w:pPr>
      <w:r>
        <w:rPr>
          <w:lang w:eastAsia="zh-CN"/>
        </w:rPr>
        <w:t>汽车电子油泵</w:t>
      </w:r>
      <w:r>
        <w:rPr>
          <w:rFonts w:hint="eastAsia"/>
          <w:lang w:eastAsia="zh-CN"/>
        </w:rPr>
        <w:t>，全球市场规模，按应用细分，启停系统是最大的下游市场</w:t>
      </w:r>
    </w:p>
    <w:p>
      <w:pPr>
        <w:pStyle w:val="145"/>
      </w:pPr>
      <w:r>
        <w:rPr>
          <w:lang w:val="en-US" w:eastAsia="zh-CN"/>
        </w:rPr>
        <w:drawing>
          <wp:inline distT="0" distB="0" distL="0" distR="0">
            <wp:extent cx="2863215" cy="3039745"/>
            <wp:effectExtent l="0" t="0" r="13335" b="825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lang w:val="en-US" w:eastAsia="zh-CN"/>
        </w:rPr>
        <w:drawing>
          <wp:inline distT="0" distB="0" distL="0" distR="0">
            <wp:extent cx="2863215" cy="3039745"/>
            <wp:effectExtent l="0" t="0" r="13335" b="825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5"/>
      </w:pPr>
      <w:r>
        <w:rPr>
          <w:lang w:val="en-US" w:eastAsia="zh-CN"/>
        </w:rPr>
        <w:drawing>
          <wp:inline distT="0" distB="0" distL="0" distR="0">
            <wp:extent cx="6155690" cy="3059430"/>
            <wp:effectExtent l="0" t="0" r="16510" b="762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3"/>
        <w:rPr>
          <w:lang w:eastAsia="zh-CN"/>
        </w:rPr>
      </w:pPr>
      <w:r>
        <w:rPr>
          <w:rFonts w:hint="eastAsia"/>
          <w:lang w:eastAsia="zh-CN"/>
        </w:rPr>
        <w:t>如上图表/数据，摘自QYResearch最新报告“全球</w:t>
      </w:r>
      <w:r>
        <w:rPr>
          <w:lang w:eastAsia="zh-CN"/>
        </w:rPr>
        <w:t>汽车电子油泵</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就产品应用而言，目前启停系统是最主要的需求来源，占据大约77.1%的份额。</w:t>
      </w:r>
    </w:p>
    <w:p>
      <w:pPr>
        <w:pStyle w:val="145"/>
        <w:rPr>
          <w:lang w:eastAsia="zh-CN"/>
        </w:rPr>
      </w:pPr>
    </w:p>
    <w:p>
      <w:pPr>
        <w:pStyle w:val="148"/>
        <w:rPr>
          <w:lang w:eastAsia="zh-CN"/>
        </w:rPr>
      </w:pPr>
      <w:r>
        <w:rPr>
          <w:rFonts w:hint="eastAsia"/>
          <w:lang w:eastAsia="zh-CN"/>
        </w:rPr>
        <w:t>全球主要市场</w:t>
      </w:r>
      <w:r>
        <w:rPr>
          <w:lang w:eastAsia="zh-CN"/>
        </w:rPr>
        <w:t>汽车电子油泵</w:t>
      </w:r>
      <w:r>
        <w:rPr>
          <w:rFonts w:hint="eastAsia"/>
          <w:lang w:eastAsia="zh-CN"/>
        </w:rPr>
        <w:t>规模</w:t>
      </w:r>
    </w:p>
    <w:p>
      <w:pPr>
        <w:pStyle w:val="145"/>
        <w:rPr>
          <w:lang w:val="en-US" w:eastAsia="zh-CN"/>
        </w:rPr>
      </w:pPr>
      <w:r>
        <w:rPr>
          <w:lang w:val="en-US" w:eastAsia="zh-CN"/>
        </w:rPr>
        <w:drawing>
          <wp:inline distT="0" distB="0" distL="0" distR="0">
            <wp:extent cx="6155690" cy="3059430"/>
            <wp:effectExtent l="0" t="0" r="16510" b="762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145"/>
        <w:rPr>
          <w:lang w:val="en-US" w:eastAsia="zh-CN"/>
        </w:rPr>
      </w:pPr>
      <w:r>
        <w:rPr>
          <w:lang w:val="en-US" w:eastAsia="zh-CN"/>
        </w:rPr>
        <w:drawing>
          <wp:inline distT="0" distB="0" distL="0" distR="0">
            <wp:extent cx="6155690" cy="3059430"/>
            <wp:effectExtent l="0" t="0" r="16510" b="762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pStyle w:val="143"/>
      </w:pPr>
      <w:r>
        <w:rPr>
          <w:rFonts w:hint="eastAsia"/>
        </w:rPr>
        <w:t>如上图表/数据，摘自QYResearch最新报告“全球</w:t>
      </w:r>
      <w:r>
        <w:t>汽车电子油泵</w:t>
      </w:r>
      <w:r>
        <w:rPr>
          <w:rFonts w:hint="eastAsia"/>
        </w:rPr>
        <w:t>市场研究报告2023-2029</w:t>
      </w:r>
      <w:r>
        <w:t>.</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A50666"/>
    <w:rsid w:val="02E3014B"/>
    <w:rsid w:val="02E76B51"/>
    <w:rsid w:val="03447D4D"/>
    <w:rsid w:val="039F62FF"/>
    <w:rsid w:val="042F016D"/>
    <w:rsid w:val="05405A2B"/>
    <w:rsid w:val="070A2A99"/>
    <w:rsid w:val="07287ACA"/>
    <w:rsid w:val="07CE3ADB"/>
    <w:rsid w:val="07E72487"/>
    <w:rsid w:val="086D0162"/>
    <w:rsid w:val="09A76BE4"/>
    <w:rsid w:val="09B40479"/>
    <w:rsid w:val="0A164C9A"/>
    <w:rsid w:val="0A413560"/>
    <w:rsid w:val="0A9D03F6"/>
    <w:rsid w:val="0AFE7196"/>
    <w:rsid w:val="0B676BC5"/>
    <w:rsid w:val="0BE3650F"/>
    <w:rsid w:val="0C1C1B6C"/>
    <w:rsid w:val="0C3C7EA2"/>
    <w:rsid w:val="0C946333"/>
    <w:rsid w:val="0CE12BAF"/>
    <w:rsid w:val="0D126C01"/>
    <w:rsid w:val="0D223618"/>
    <w:rsid w:val="0E550512"/>
    <w:rsid w:val="0F5116AE"/>
    <w:rsid w:val="105A40DF"/>
    <w:rsid w:val="1087172B"/>
    <w:rsid w:val="10A04854"/>
    <w:rsid w:val="113605CA"/>
    <w:rsid w:val="118A2253"/>
    <w:rsid w:val="121421B7"/>
    <w:rsid w:val="12B442BF"/>
    <w:rsid w:val="132135EE"/>
    <w:rsid w:val="14DF00CB"/>
    <w:rsid w:val="15391A5F"/>
    <w:rsid w:val="161C3356"/>
    <w:rsid w:val="161D5555"/>
    <w:rsid w:val="166C0B57"/>
    <w:rsid w:val="16722A60"/>
    <w:rsid w:val="170809D5"/>
    <w:rsid w:val="171325EA"/>
    <w:rsid w:val="17263809"/>
    <w:rsid w:val="18147C0E"/>
    <w:rsid w:val="182A5635"/>
    <w:rsid w:val="184461DF"/>
    <w:rsid w:val="191861B7"/>
    <w:rsid w:val="19D133E7"/>
    <w:rsid w:val="19E67B09"/>
    <w:rsid w:val="1A3A7593"/>
    <w:rsid w:val="1A6900E2"/>
    <w:rsid w:val="1AE01026"/>
    <w:rsid w:val="1B2C5C22"/>
    <w:rsid w:val="1B415BC7"/>
    <w:rsid w:val="1B6E410D"/>
    <w:rsid w:val="1C8D7DE8"/>
    <w:rsid w:val="1D517B25"/>
    <w:rsid w:val="1DB37BCA"/>
    <w:rsid w:val="1DD1717A"/>
    <w:rsid w:val="1E264686"/>
    <w:rsid w:val="1F990CE4"/>
    <w:rsid w:val="20404975"/>
    <w:rsid w:val="20664BB5"/>
    <w:rsid w:val="20D506EC"/>
    <w:rsid w:val="20ED3B94"/>
    <w:rsid w:val="214210A0"/>
    <w:rsid w:val="218E591C"/>
    <w:rsid w:val="21C42573"/>
    <w:rsid w:val="229F5759"/>
    <w:rsid w:val="22D20532"/>
    <w:rsid w:val="236D70AB"/>
    <w:rsid w:val="24356AF4"/>
    <w:rsid w:val="243B67FF"/>
    <w:rsid w:val="250F7ADC"/>
    <w:rsid w:val="25B22B68"/>
    <w:rsid w:val="26126405"/>
    <w:rsid w:val="27054714"/>
    <w:rsid w:val="27372964"/>
    <w:rsid w:val="28696559"/>
    <w:rsid w:val="28E41726"/>
    <w:rsid w:val="299E43D8"/>
    <w:rsid w:val="29DC643B"/>
    <w:rsid w:val="29FD43F1"/>
    <w:rsid w:val="2A5218FD"/>
    <w:rsid w:val="2C06004A"/>
    <w:rsid w:val="2C856399"/>
    <w:rsid w:val="2D090B71"/>
    <w:rsid w:val="2D373C3F"/>
    <w:rsid w:val="2D9A265E"/>
    <w:rsid w:val="2ED33660"/>
    <w:rsid w:val="2EF9001C"/>
    <w:rsid w:val="2F107C41"/>
    <w:rsid w:val="2FBF4562"/>
    <w:rsid w:val="3030139E"/>
    <w:rsid w:val="30711E07"/>
    <w:rsid w:val="30A844DF"/>
    <w:rsid w:val="31BC43A8"/>
    <w:rsid w:val="31BD1E29"/>
    <w:rsid w:val="31C02DAE"/>
    <w:rsid w:val="31CE7B45"/>
    <w:rsid w:val="31EF007A"/>
    <w:rsid w:val="32915685"/>
    <w:rsid w:val="32925305"/>
    <w:rsid w:val="33301D0B"/>
    <w:rsid w:val="333A261A"/>
    <w:rsid w:val="33995EB7"/>
    <w:rsid w:val="33CF4D0C"/>
    <w:rsid w:val="34945D4F"/>
    <w:rsid w:val="34A64D70"/>
    <w:rsid w:val="34ED1C61"/>
    <w:rsid w:val="354E0A01"/>
    <w:rsid w:val="35650626"/>
    <w:rsid w:val="35684E2E"/>
    <w:rsid w:val="357A05CB"/>
    <w:rsid w:val="36840A7D"/>
    <w:rsid w:val="38232AA8"/>
    <w:rsid w:val="38356245"/>
    <w:rsid w:val="389030DC"/>
    <w:rsid w:val="38CB7A3E"/>
    <w:rsid w:val="38F85F83"/>
    <w:rsid w:val="38FB278B"/>
    <w:rsid w:val="398D7AFC"/>
    <w:rsid w:val="399248BD"/>
    <w:rsid w:val="39984266"/>
    <w:rsid w:val="39AE2B63"/>
    <w:rsid w:val="39CE0565"/>
    <w:rsid w:val="39F13F9D"/>
    <w:rsid w:val="3A522D3D"/>
    <w:rsid w:val="3AC37B79"/>
    <w:rsid w:val="3BAF51F7"/>
    <w:rsid w:val="3CC92C1C"/>
    <w:rsid w:val="3CF93F15"/>
    <w:rsid w:val="3D6F51D8"/>
    <w:rsid w:val="3D947997"/>
    <w:rsid w:val="3DD50400"/>
    <w:rsid w:val="3E025A4C"/>
    <w:rsid w:val="3E2171FA"/>
    <w:rsid w:val="3E9704BE"/>
    <w:rsid w:val="3F2D1CB6"/>
    <w:rsid w:val="3F721126"/>
    <w:rsid w:val="3F9F0CF0"/>
    <w:rsid w:val="425311DE"/>
    <w:rsid w:val="42677E7F"/>
    <w:rsid w:val="43212B30"/>
    <w:rsid w:val="44757F5F"/>
    <w:rsid w:val="44E0180C"/>
    <w:rsid w:val="45433AAF"/>
    <w:rsid w:val="456F5BF8"/>
    <w:rsid w:val="45921630"/>
    <w:rsid w:val="45AA4758"/>
    <w:rsid w:val="45D27E9B"/>
    <w:rsid w:val="46136706"/>
    <w:rsid w:val="4622569C"/>
    <w:rsid w:val="462369A1"/>
    <w:rsid w:val="46845740"/>
    <w:rsid w:val="46F91E7C"/>
    <w:rsid w:val="477F6C5D"/>
    <w:rsid w:val="48847404"/>
    <w:rsid w:val="494574C2"/>
    <w:rsid w:val="4A4A12EF"/>
    <w:rsid w:val="4A4D7CF5"/>
    <w:rsid w:val="4AE56F6F"/>
    <w:rsid w:val="4B427308"/>
    <w:rsid w:val="4B812670"/>
    <w:rsid w:val="4C054E48"/>
    <w:rsid w:val="4C537145"/>
    <w:rsid w:val="4D686C8D"/>
    <w:rsid w:val="4DFF2684"/>
    <w:rsid w:val="508942AC"/>
    <w:rsid w:val="508A77AF"/>
    <w:rsid w:val="508F1A38"/>
    <w:rsid w:val="50F25EDA"/>
    <w:rsid w:val="511C03A3"/>
    <w:rsid w:val="51656219"/>
    <w:rsid w:val="51804844"/>
    <w:rsid w:val="51ED73F6"/>
    <w:rsid w:val="52817C6A"/>
    <w:rsid w:val="52D41C73"/>
    <w:rsid w:val="53121757"/>
    <w:rsid w:val="53362C11"/>
    <w:rsid w:val="53AB3ED4"/>
    <w:rsid w:val="546A778A"/>
    <w:rsid w:val="5510379B"/>
    <w:rsid w:val="551769A9"/>
    <w:rsid w:val="55671C2C"/>
    <w:rsid w:val="56925E96"/>
    <w:rsid w:val="56B70654"/>
    <w:rsid w:val="56F10111"/>
    <w:rsid w:val="57391B27"/>
    <w:rsid w:val="57805B1E"/>
    <w:rsid w:val="57AD4064"/>
    <w:rsid w:val="585F1909"/>
    <w:rsid w:val="58C93537"/>
    <w:rsid w:val="591D6844"/>
    <w:rsid w:val="59227449"/>
    <w:rsid w:val="5AE738B1"/>
    <w:rsid w:val="5C140AA0"/>
    <w:rsid w:val="5C2A2C44"/>
    <w:rsid w:val="5CF4010E"/>
    <w:rsid w:val="5CF94596"/>
    <w:rsid w:val="5D0C1038"/>
    <w:rsid w:val="5D514C25"/>
    <w:rsid w:val="5E074753"/>
    <w:rsid w:val="5E363F9E"/>
    <w:rsid w:val="5EE42E3D"/>
    <w:rsid w:val="5EEC0249"/>
    <w:rsid w:val="5F6B1E1C"/>
    <w:rsid w:val="5FDF73FB"/>
    <w:rsid w:val="608060E1"/>
    <w:rsid w:val="60B146B2"/>
    <w:rsid w:val="60C36BF4"/>
    <w:rsid w:val="615E224C"/>
    <w:rsid w:val="62C01E93"/>
    <w:rsid w:val="62C06610"/>
    <w:rsid w:val="633F4960"/>
    <w:rsid w:val="640843A9"/>
    <w:rsid w:val="648B4982"/>
    <w:rsid w:val="64AF38BD"/>
    <w:rsid w:val="650D74DA"/>
    <w:rsid w:val="65811A17"/>
    <w:rsid w:val="662A0BAB"/>
    <w:rsid w:val="66BC5F1C"/>
    <w:rsid w:val="66D222BD"/>
    <w:rsid w:val="6889198F"/>
    <w:rsid w:val="69880C71"/>
    <w:rsid w:val="69AB2D6B"/>
    <w:rsid w:val="6AC14AB2"/>
    <w:rsid w:val="6AD050CC"/>
    <w:rsid w:val="6B026BA0"/>
    <w:rsid w:val="6B046820"/>
    <w:rsid w:val="6C974A38"/>
    <w:rsid w:val="6CE1026C"/>
    <w:rsid w:val="6D0475EA"/>
    <w:rsid w:val="6D7A7229"/>
    <w:rsid w:val="6D891A42"/>
    <w:rsid w:val="6EB3022A"/>
    <w:rsid w:val="6F21085E"/>
    <w:rsid w:val="6F32657A"/>
    <w:rsid w:val="6F6438D1"/>
    <w:rsid w:val="6F9D14AD"/>
    <w:rsid w:val="700468D2"/>
    <w:rsid w:val="706C4FFD"/>
    <w:rsid w:val="70EA114F"/>
    <w:rsid w:val="71062FFD"/>
    <w:rsid w:val="71791CB7"/>
    <w:rsid w:val="72414F83"/>
    <w:rsid w:val="72492390"/>
    <w:rsid w:val="726A4AC3"/>
    <w:rsid w:val="7271444E"/>
    <w:rsid w:val="73357A0F"/>
    <w:rsid w:val="73376795"/>
    <w:rsid w:val="73651863"/>
    <w:rsid w:val="739E3BBB"/>
    <w:rsid w:val="73D44095"/>
    <w:rsid w:val="74BF2D99"/>
    <w:rsid w:val="74C64922"/>
    <w:rsid w:val="75286F45"/>
    <w:rsid w:val="76C30EE4"/>
    <w:rsid w:val="780D5A03"/>
    <w:rsid w:val="78574EC9"/>
    <w:rsid w:val="787466AD"/>
    <w:rsid w:val="78967EE6"/>
    <w:rsid w:val="793144E1"/>
    <w:rsid w:val="7A4024A0"/>
    <w:rsid w:val="7B540CE3"/>
    <w:rsid w:val="7B7C4426"/>
    <w:rsid w:val="7BA41D67"/>
    <w:rsid w:val="7C1977A8"/>
    <w:rsid w:val="7C99137B"/>
    <w:rsid w:val="7D2953E6"/>
    <w:rsid w:val="7D817FF3"/>
    <w:rsid w:val="7DFC793D"/>
    <w:rsid w:val="7E261E06"/>
    <w:rsid w:val="7F0439F3"/>
    <w:rsid w:val="7F0B7AFA"/>
    <w:rsid w:val="7F1C1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chart" Target="charts/chart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10.xml"/><Relationship Id="rId17" Type="http://schemas.openxmlformats.org/officeDocument/2006/relationships/chart" Target="charts/chart9.xml"/><Relationship Id="rId16" Type="http://schemas.openxmlformats.org/officeDocument/2006/relationships/chart" Target="charts/chart8.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chartUserShapes" Target="../drawings/drawing1.xml"/><Relationship Id="rId1" Type="http://schemas.openxmlformats.org/officeDocument/2006/relationships/oleObject" Target="file:///C:\Users\hengzhoubz\Desktop\&#35266;&#28857;&#25968;&#25454;&#22270;&#34920;&#27169;&#26495;-20231008%20&#20026;&#20934;%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hengzhoubz\Desktop\&#35266;&#28857;&#25968;&#25454;&#22270;&#34920;&#27169;&#26495;-20231008%20&#20026;&#20934;%20-%20&#21103;&#26412;.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engzhoubz\Desktop\&#35266;&#28857;&#25968;&#25454;&#22270;&#34920;&#27169;&#26495;-20231008%20&#20026;&#20934;%20-%20&#21103;&#26412;.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hengzhoubz\Desktop\&#35266;&#28857;&#25968;&#25454;&#22270;&#34920;&#27169;&#26495;-20231008%20&#20026;&#20934;%20-%20&#21103;&#2641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engzhoubz\Desktop\&#35266;&#28857;&#25968;&#25454;&#22270;&#34920;&#27169;&#26495;-20231008%20&#20026;&#20934;%20-%20&#21103;&#26412;.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engzhoubz\Desktop\&#35266;&#28857;&#25968;&#25454;&#22270;&#34920;&#27169;&#26495;-20231008%20&#20026;&#20934;%20-%20&#21103;&#26412;.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engzhoubz\Desktop\&#35266;&#28857;&#25968;&#25454;&#22270;&#34920;&#27169;&#26495;-20231008%20&#20026;&#20934;%20-%20&#21103;&#26412;.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engzhoubz\Desktop\&#35266;&#28857;&#25968;&#25454;&#22270;&#34920;&#27169;&#26495;-20231008%20&#20026;&#20934;%20-%20&#21103;&#26412;.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hengzhoubz\Desktop\&#35266;&#28857;&#25968;&#25454;&#22270;&#34920;&#27169;&#26495;-20231008%20&#20026;&#20934;%20-%20&#21103;&#26412;.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hengzhoubz\Desktop\&#35266;&#28857;&#25968;&#25454;&#22270;&#34920;&#27169;&#26495;-20231008%20&#20026;&#20934;%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全球规模（百万美元）</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209.68</c:v>
                </c:pt>
                <c:pt idx="1">
                  <c:v>508.51</c:v>
                </c:pt>
                <c:pt idx="2">
                  <c:v>1591.08</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Lbls>
            <c:delete val="1"/>
          </c:dLbls>
          <c:cat>
            <c:strRef>
              <c:f>企业排序!$F$2:$F$16</c:f>
              <c:strCache>
                <c:ptCount val="15"/>
                <c:pt idx="0">
                  <c:v>Nidec Corporation</c:v>
                </c:pt>
                <c:pt idx="1">
                  <c:v>三花智控</c:v>
                </c:pt>
                <c:pt idx="2">
                  <c:v>Rheinmetall Automotive</c:v>
                </c:pt>
                <c:pt idx="3">
                  <c:v>SHW Group</c:v>
                </c:pt>
                <c:pt idx="4">
                  <c:v>Aisin</c:v>
                </c:pt>
                <c:pt idx="5">
                  <c:v>Hanon Systems</c:v>
                </c:pt>
                <c:pt idx="6">
                  <c:v>JTEKT</c:v>
                </c:pt>
                <c:pt idx="7">
                  <c:v>FTE Automotive</c:v>
                </c:pt>
                <c:pt idx="8">
                  <c:v>Mitsubishi Electric</c:v>
                </c:pt>
                <c:pt idx="9">
                  <c:v>Buehler Motor</c:v>
                </c:pt>
                <c:pt idx="10">
                  <c:v>Mitsuba Corporation</c:v>
                </c:pt>
                <c:pt idx="11">
                  <c:v>Youngshin Precision</c:v>
                </c:pt>
                <c:pt idx="12">
                  <c:v>EMP</c:v>
                </c:pt>
                <c:pt idx="13">
                  <c:v>Hitachi Astemo</c:v>
                </c:pt>
                <c:pt idx="14">
                  <c:v>圣龙股份</c:v>
                </c:pt>
              </c:strCache>
            </c:strRef>
          </c:cat>
          <c:val>
            <c:numRef>
              <c:f>企业排序!$G$2:$G$16</c:f>
              <c:numCache>
                <c:formatCode>#,##0.00_ </c:formatCode>
                <c:ptCount val="15"/>
                <c:pt idx="0">
                  <c:v>114.24</c:v>
                </c:pt>
                <c:pt idx="1">
                  <c:v>70.17</c:v>
                </c:pt>
                <c:pt idx="2">
                  <c:v>44.94</c:v>
                </c:pt>
                <c:pt idx="3">
                  <c:v>39.91</c:v>
                </c:pt>
                <c:pt idx="4">
                  <c:v>31.06</c:v>
                </c:pt>
                <c:pt idx="5">
                  <c:v>30.77</c:v>
                </c:pt>
                <c:pt idx="6">
                  <c:v>28.61</c:v>
                </c:pt>
                <c:pt idx="7">
                  <c:v>27.34</c:v>
                </c:pt>
                <c:pt idx="8">
                  <c:v>17.11</c:v>
                </c:pt>
                <c:pt idx="9">
                  <c:v>15.11</c:v>
                </c:pt>
                <c:pt idx="10">
                  <c:v>13.15</c:v>
                </c:pt>
                <c:pt idx="11">
                  <c:v>9.63</c:v>
                </c:pt>
                <c:pt idx="12">
                  <c:v>6.03</c:v>
                </c:pt>
                <c:pt idx="13">
                  <c:v>5.03</c:v>
                </c:pt>
                <c:pt idx="14">
                  <c:v>4.2</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1731186222824"/>
          <c:y val="0.460949191461784"/>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分类!$R$40:$R$48</c:f>
              <c:strCache>
                <c:ptCount val="2"/>
                <c:pt idx="0">
                  <c:v>集成式</c:v>
                </c:pt>
                <c:pt idx="1">
                  <c:v>分离式</c:v>
                </c:pt>
              </c:strCache>
            </c:strRef>
          </c:cat>
          <c:val>
            <c:numRef>
              <c:f>分类!$AF$40:$AF$48</c:f>
              <c:numCache>
                <c:formatCode>0.0%</c:formatCode>
                <c:ptCount val="2"/>
                <c:pt idx="0">
                  <c:v>0.703722640656034</c:v>
                </c:pt>
                <c:pt idx="1">
                  <c:v>0.296277359343966</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29877934089145"/>
          <c:y val="0.456770934077574"/>
        </c:manualLayout>
      </c:layout>
      <c:overlay val="0"/>
      <c:spPr>
        <a:noFill/>
        <a:ln>
          <a:noFill/>
        </a:ln>
        <a:effectLst/>
      </c:spPr>
    </c:title>
    <c:autoTitleDeleted val="0"/>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分类!$R$40:$R$48</c:f>
              <c:strCache>
                <c:ptCount val="2"/>
                <c:pt idx="0">
                  <c:v>集成式</c:v>
                </c:pt>
                <c:pt idx="1">
                  <c:v>分离式</c:v>
                </c:pt>
              </c:strCache>
            </c:strRef>
          </c:cat>
          <c:val>
            <c:numRef>
              <c:f>分类!$AG$40:$AG$48</c:f>
              <c:numCache>
                <c:formatCode>0.0%</c:formatCode>
                <c:ptCount val="2"/>
                <c:pt idx="0">
                  <c:v>0.532663348166026</c:v>
                </c:pt>
                <c:pt idx="1">
                  <c:v>0.467336651833974</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分类!$R$40</c:f>
              <c:strCache>
                <c:ptCount val="1"/>
                <c:pt idx="0">
                  <c:v>集成式</c:v>
                </c:pt>
              </c:strCache>
            </c:strRef>
          </c:tx>
          <c:spPr>
            <a:solidFill>
              <a:srgbClr val="00206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分类!$S$40:$AD$40</c:f>
              <c:numCache>
                <c:formatCode>0.0%</c:formatCode>
                <c:ptCount val="12"/>
                <c:pt idx="0">
                  <c:v>0.793113315528424</c:v>
                </c:pt>
                <c:pt idx="1">
                  <c:v>0.794853466761973</c:v>
                </c:pt>
                <c:pt idx="2">
                  <c:v>0.762807113730597</c:v>
                </c:pt>
                <c:pt idx="3">
                  <c:v>0.743996281567939</c:v>
                </c:pt>
                <c:pt idx="4">
                  <c:v>0.703722640656034</c:v>
                </c:pt>
                <c:pt idx="5">
                  <c:v>0.661925144015705</c:v>
                </c:pt>
                <c:pt idx="6">
                  <c:v>0.633168111798421</c:v>
                </c:pt>
                <c:pt idx="7">
                  <c:v>0.6105131470691</c:v>
                </c:pt>
                <c:pt idx="8">
                  <c:v>0.590985168774126</c:v>
                </c:pt>
                <c:pt idx="9">
                  <c:v>0.560075985436125</c:v>
                </c:pt>
                <c:pt idx="10">
                  <c:v>0.54691020047338</c:v>
                </c:pt>
                <c:pt idx="11">
                  <c:v>0.532663348166026</c:v>
                </c:pt>
              </c:numCache>
            </c:numRef>
          </c:val>
        </c:ser>
        <c:ser>
          <c:idx val="1"/>
          <c:order val="1"/>
          <c:tx>
            <c:strRef>
              <c:f>分类!$R$41</c:f>
              <c:strCache>
                <c:ptCount val="1"/>
                <c:pt idx="0">
                  <c:v>分离式</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分类!$S$41:$AD$41</c:f>
              <c:numCache>
                <c:formatCode>0.0%</c:formatCode>
                <c:ptCount val="12"/>
                <c:pt idx="0">
                  <c:v>0.206886684471576</c:v>
                </c:pt>
                <c:pt idx="1">
                  <c:v>0.205146533238027</c:v>
                </c:pt>
                <c:pt idx="2">
                  <c:v>0.237192886269403</c:v>
                </c:pt>
                <c:pt idx="3">
                  <c:v>0.256003718432061</c:v>
                </c:pt>
                <c:pt idx="4">
                  <c:v>0.296277359343966</c:v>
                </c:pt>
                <c:pt idx="5">
                  <c:v>0.338074855984295</c:v>
                </c:pt>
                <c:pt idx="6">
                  <c:v>0.366831888201579</c:v>
                </c:pt>
                <c:pt idx="7">
                  <c:v>0.3894868529309</c:v>
                </c:pt>
                <c:pt idx="8">
                  <c:v>0.409014831225874</c:v>
                </c:pt>
                <c:pt idx="9">
                  <c:v>0.439924014563875</c:v>
                </c:pt>
                <c:pt idx="10">
                  <c:v>0.45308979952662</c:v>
                </c:pt>
                <c:pt idx="11">
                  <c:v>0.467336651833974</c:v>
                </c:pt>
              </c:numCache>
            </c:numRef>
          </c:val>
        </c:ser>
        <c:ser>
          <c:idx val="2"/>
          <c:order val="2"/>
          <c:tx>
            <c:strRef>
              <c:f>分类!$R$42</c:f>
              <c:strCache>
                <c:ptCount val="1"/>
                <c:pt idx="0">
                  <c:v>0.0%</c:v>
                </c:pt>
              </c:strCache>
            </c:strRef>
          </c:tx>
          <c:spPr>
            <a:solidFill>
              <a:srgbClr val="0070C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分类!$S$42:$AD$42</c:f>
            </c:numRef>
          </c:val>
        </c:ser>
        <c:ser>
          <c:idx val="3"/>
          <c:order val="3"/>
          <c:tx>
            <c:strRef>
              <c:f>分类!$R$43</c:f>
              <c:strCache>
                <c:ptCount val="1"/>
                <c:pt idx="0">
                  <c:v>0.0%</c:v>
                </c:pt>
              </c:strCache>
            </c:strRef>
          </c:tx>
          <c:spPr>
            <a:solidFill>
              <a:srgbClr val="FFC00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分类!$S$43:$AD$43</c:f>
            </c:numRef>
          </c:val>
        </c:ser>
        <c:ser>
          <c:idx val="4"/>
          <c:order val="4"/>
          <c:tx>
            <c:strRef>
              <c:f>分类!$R$44</c:f>
              <c:strCache>
                <c:ptCount val="1"/>
                <c:pt idx="0">
                  <c:v>0.0%</c:v>
                </c:pt>
              </c:strCache>
            </c:strRef>
          </c:tx>
          <c:spPr>
            <a:solidFill>
              <a:schemeClr val="tx1">
                <a:lumMod val="65000"/>
                <a:lumOff val="35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分类!$S$44:$AD$44</c:f>
            </c:numRef>
          </c:val>
        </c:ser>
        <c:ser>
          <c:idx val="5"/>
          <c:order val="5"/>
          <c:tx>
            <c:strRef>
              <c:f>分类!$R$45</c:f>
              <c:strCache>
                <c:ptCount val="1"/>
                <c:pt idx="0">
                  <c:v>0.0%</c:v>
                </c:pt>
              </c:strCache>
            </c:strRef>
          </c:tx>
          <c:spPr>
            <a:solidFill>
              <a:srgbClr val="C0000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分类!$S$45:$AD$45</c:f>
            </c:numRef>
          </c:val>
        </c:ser>
        <c:ser>
          <c:idx val="6"/>
          <c:order val="6"/>
          <c:tx>
            <c:strRef>
              <c:f>分类!$R$46</c:f>
              <c:strCache>
                <c:ptCount val="1"/>
                <c:pt idx="0">
                  <c:v>0.0%</c:v>
                </c:pt>
              </c:strCache>
            </c:strRef>
          </c:tx>
          <c:spPr>
            <a:solidFill>
              <a:srgbClr val="7030A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分类!$S$46:$AD$46</c:f>
            </c:numRef>
          </c:val>
        </c:ser>
        <c:ser>
          <c:idx val="7"/>
          <c:order val="7"/>
          <c:tx>
            <c:strRef>
              <c:f>分类!$R$47</c:f>
              <c:strCache>
                <c:ptCount val="1"/>
                <c:pt idx="0">
                  <c:v>0.0%</c:v>
                </c:pt>
              </c:strCache>
            </c:strRef>
          </c:tx>
          <c:spPr>
            <a:solidFill>
              <a:schemeClr val="tx2">
                <a:lumMod val="60000"/>
                <a:lumOff val="40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分类!$S$47:$AD$47</c:f>
            </c:numRef>
          </c:val>
        </c:ser>
        <c:ser>
          <c:idx val="8"/>
          <c:order val="8"/>
          <c:tx>
            <c:strRef>
              <c:f>分类!$R$48</c:f>
              <c:strCache>
                <c:ptCount val="1"/>
                <c:pt idx="0">
                  <c:v>0.0%</c:v>
                </c:pt>
              </c:strCache>
            </c:strRef>
          </c:tx>
          <c:spPr>
            <a:solidFill>
              <a:schemeClr val="accent6">
                <a:lumMod val="75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分类!$S$48:$AD$48</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26963046784821"/>
          <c:y val="0.469305155531138"/>
        </c:manualLayout>
      </c:layout>
      <c:overlay val="0"/>
      <c:spPr>
        <a:noFill/>
        <a:ln>
          <a:noFill/>
        </a:ln>
        <a:effectLst/>
      </c:spPr>
    </c:title>
    <c:autoTitleDeleted val="0"/>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应用!$R$39:$R$47</c:f>
              <c:strCache>
                <c:ptCount val="2"/>
                <c:pt idx="0">
                  <c:v>启停系统</c:v>
                </c:pt>
                <c:pt idx="1">
                  <c:v>电驱动系统</c:v>
                </c:pt>
              </c:strCache>
            </c:strRef>
          </c:cat>
          <c:val>
            <c:numRef>
              <c:f>应用!$AF$2:$AF$10</c:f>
              <c:numCache>
                <c:formatCode>0.0%</c:formatCode>
                <c:ptCount val="2"/>
                <c:pt idx="0">
                  <c:v>0.770623979862736</c:v>
                </c:pt>
                <c:pt idx="1">
                  <c:v>0.229376020137264</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0521633897559"/>
          <c:y val="0.465127173496461"/>
        </c:manualLayout>
      </c:layout>
      <c:overlay val="0"/>
      <c:spPr>
        <a:noFill/>
        <a:ln>
          <a:noFill/>
        </a:ln>
        <a:effectLst/>
      </c:spPr>
    </c:title>
    <c:autoTitleDeleted val="0"/>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应用!$R$39:$R$47</c:f>
              <c:strCache>
                <c:ptCount val="2"/>
                <c:pt idx="0">
                  <c:v>启停系统</c:v>
                </c:pt>
                <c:pt idx="1">
                  <c:v>电驱动系统</c:v>
                </c:pt>
              </c:strCache>
            </c:strRef>
          </c:cat>
          <c:val>
            <c:numRef>
              <c:f>应用!$AG$2:$AG$10</c:f>
              <c:numCache>
                <c:formatCode>0.0%</c:formatCode>
                <c:ptCount val="2"/>
                <c:pt idx="0">
                  <c:v>0.596714181562209</c:v>
                </c:pt>
                <c:pt idx="1">
                  <c:v>0.403285818437791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应用!$A$39</c:f>
              <c:strCache>
                <c:ptCount val="1"/>
                <c:pt idx="0">
                  <c:v>启停系统</c:v>
                </c:pt>
              </c:strCache>
            </c:strRef>
          </c:tx>
          <c:spPr>
            <a:solidFill>
              <a:srgbClr val="002060"/>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应用!$S$39:$AD$39</c:f>
              <c:numCache>
                <c:formatCode>0.00%</c:formatCode>
                <c:ptCount val="12"/>
                <c:pt idx="0">
                  <c:v>0.884156810377718</c:v>
                </c:pt>
                <c:pt idx="1">
                  <c:v>0.867127313160194</c:v>
                </c:pt>
                <c:pt idx="2">
                  <c:v>0.839461330226502</c:v>
                </c:pt>
                <c:pt idx="3">
                  <c:v>0.81301967670299</c:v>
                </c:pt>
                <c:pt idx="4">
                  <c:v>0.770623979862736</c:v>
                </c:pt>
                <c:pt idx="5">
                  <c:v>0.724069127538377</c:v>
                </c:pt>
                <c:pt idx="6">
                  <c:v>0.697631230878168</c:v>
                </c:pt>
                <c:pt idx="7">
                  <c:v>0.678260281537751</c:v>
                </c:pt>
                <c:pt idx="8">
                  <c:v>0.652554589166336</c:v>
                </c:pt>
                <c:pt idx="9">
                  <c:v>0.629321046799364</c:v>
                </c:pt>
                <c:pt idx="10">
                  <c:v>0.610716628168934</c:v>
                </c:pt>
                <c:pt idx="11">
                  <c:v>0.596714181562209</c:v>
                </c:pt>
              </c:numCache>
            </c:numRef>
          </c:val>
        </c:ser>
        <c:ser>
          <c:idx val="1"/>
          <c:order val="1"/>
          <c:tx>
            <c:strRef>
              <c:f>应用!$A$40</c:f>
              <c:strCache>
                <c:ptCount val="1"/>
                <c:pt idx="0">
                  <c:v>电驱动系统</c:v>
                </c:pt>
              </c:strCache>
            </c:strRef>
          </c:tx>
          <c:spPr>
            <a:solidFill>
              <a:schemeClr val="bg1">
                <a:lumMod val="50000"/>
              </a:schemeClr>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应用!$S$40:$AD$40</c:f>
              <c:numCache>
                <c:formatCode>0.00%</c:formatCode>
                <c:ptCount val="12"/>
                <c:pt idx="0">
                  <c:v>0.115843189622282</c:v>
                </c:pt>
                <c:pt idx="1">
                  <c:v>0.132872686839806</c:v>
                </c:pt>
                <c:pt idx="2">
                  <c:v>0.160538669773498</c:v>
                </c:pt>
                <c:pt idx="3">
                  <c:v>0.18698032329701</c:v>
                </c:pt>
                <c:pt idx="4">
                  <c:v>0.229376020137264</c:v>
                </c:pt>
                <c:pt idx="5">
                  <c:v>0.275930872461623</c:v>
                </c:pt>
                <c:pt idx="6">
                  <c:v>0.302368769121832</c:v>
                </c:pt>
                <c:pt idx="7">
                  <c:v>0.321739718462249</c:v>
                </c:pt>
                <c:pt idx="8">
                  <c:v>0.347445410833664</c:v>
                </c:pt>
                <c:pt idx="9">
                  <c:v>0.370678953200637</c:v>
                </c:pt>
                <c:pt idx="10">
                  <c:v>0.389283371831066</c:v>
                </c:pt>
                <c:pt idx="11">
                  <c:v>0.403285818437791</c:v>
                </c:pt>
              </c:numCache>
            </c:numRef>
          </c:val>
        </c:ser>
        <c:ser>
          <c:idx val="2"/>
          <c:order val="2"/>
          <c:tx>
            <c:strRef>
              <c:f>应用!$A$41</c:f>
              <c:strCache>
                <c:ptCount val="1"/>
                <c:pt idx="0">
                  <c:v/>
                </c:pt>
              </c:strCache>
            </c:strRef>
          </c:tx>
          <c:spPr>
            <a:solidFill>
              <a:srgbClr val="0070C0"/>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应用!$S$41:$AD$41</c:f>
            </c:numRef>
          </c:val>
        </c:ser>
        <c:ser>
          <c:idx val="3"/>
          <c:order val="3"/>
          <c:tx>
            <c:strRef>
              <c:f>应用!$A$42</c:f>
              <c:strCache>
                <c:ptCount val="1"/>
                <c:pt idx="0">
                  <c:v/>
                </c:pt>
              </c:strCache>
            </c:strRef>
          </c:tx>
          <c:spPr>
            <a:solidFill>
              <a:srgbClr val="FFC000"/>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应用!$S$42:$AD$42</c:f>
            </c:numRef>
          </c:val>
        </c:ser>
        <c:ser>
          <c:idx val="4"/>
          <c:order val="4"/>
          <c:tx>
            <c:strRef>
              <c:f>应用!$A$43</c:f>
              <c:strCache>
                <c:ptCount val="1"/>
                <c:pt idx="0">
                  <c:v/>
                </c:pt>
              </c:strCache>
            </c:strRef>
          </c:tx>
          <c:spPr>
            <a:solidFill>
              <a:schemeClr val="tx1">
                <a:lumMod val="65000"/>
                <a:lumOff val="35000"/>
              </a:schemeClr>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应用!$S$43:$AD$43</c:f>
            </c:numRef>
          </c:val>
        </c:ser>
        <c:ser>
          <c:idx val="5"/>
          <c:order val="5"/>
          <c:tx>
            <c:strRef>
              <c:f>应用!$A$44</c:f>
              <c:strCache>
                <c:ptCount val="1"/>
                <c:pt idx="0">
                  <c:v/>
                </c:pt>
              </c:strCache>
            </c:strRef>
          </c:tx>
          <c:spPr>
            <a:solidFill>
              <a:srgbClr val="C00000"/>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应用!$S$44:$AD$44</c:f>
            </c:numRef>
          </c:val>
        </c:ser>
        <c:ser>
          <c:idx val="6"/>
          <c:order val="6"/>
          <c:tx>
            <c:strRef>
              <c:f>应用!$A$45</c:f>
              <c:strCache>
                <c:ptCount val="1"/>
                <c:pt idx="0">
                  <c:v/>
                </c:pt>
              </c:strCache>
            </c:strRef>
          </c:tx>
          <c:spPr>
            <a:solidFill>
              <a:srgbClr val="7030A0"/>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应用!$S$45:$AD$45</c:f>
            </c:numRef>
          </c:val>
        </c:ser>
        <c:ser>
          <c:idx val="7"/>
          <c:order val="7"/>
          <c:tx>
            <c:strRef>
              <c:f>应用!$A$46</c:f>
              <c:strCache>
                <c:ptCount val="1"/>
                <c:pt idx="0">
                  <c:v/>
                </c:pt>
              </c:strCache>
            </c:strRef>
          </c:tx>
          <c:spPr>
            <a:solidFill>
              <a:schemeClr val="tx2">
                <a:lumMod val="60000"/>
                <a:lumOff val="40000"/>
              </a:schemeClr>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应用!$S$46:$AD$46</c:f>
            </c:numRef>
          </c:val>
        </c:ser>
        <c:ser>
          <c:idx val="8"/>
          <c:order val="8"/>
          <c:tx>
            <c:strRef>
              <c:f>应用!$A$47</c:f>
              <c:strCache>
                <c:ptCount val="1"/>
                <c:pt idx="0">
                  <c:v/>
                </c:pt>
              </c:strCache>
            </c:strRef>
          </c:tx>
          <c:spPr>
            <a:solidFill>
              <a:schemeClr val="accent6">
                <a:lumMod val="75000"/>
              </a:schemeClr>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应用!$S$47:$AD$47</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f>'地区-消费'!$AD$39:$AD$47</c:f>
              <c:strCache>
                <c:ptCount val="5"/>
                <c:pt idx="0">
                  <c:v>北美</c:v>
                </c:pt>
                <c:pt idx="1">
                  <c:v>欧洲</c:v>
                </c:pt>
                <c:pt idx="2">
                  <c:v>中国</c:v>
                </c:pt>
                <c:pt idx="3">
                  <c:v>亚洲（不包括中国）</c:v>
                </c:pt>
                <c:pt idx="4">
                  <c:v>中东、非洲和拉丁美洲</c:v>
                </c:pt>
              </c:strCache>
            </c:strRef>
          </c:cat>
          <c:val>
            <c:numRef>
              <c:f>'地区-消费'!$AE$39:$AE$47</c:f>
              <c:numCache>
                <c:formatCode>General</c:formatCode>
                <c:ptCount val="5"/>
                <c:pt idx="0">
                  <c:v>48.63</c:v>
                </c:pt>
                <c:pt idx="1">
                  <c:v>64</c:v>
                </c:pt>
                <c:pt idx="2">
                  <c:v>14.73</c:v>
                </c:pt>
                <c:pt idx="3">
                  <c:v>79.17</c:v>
                </c:pt>
                <c:pt idx="4">
                  <c:v>3.15</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f>'地区-消费'!$AD$39:$AD$47</c:f>
              <c:strCache>
                <c:ptCount val="5"/>
                <c:pt idx="0">
                  <c:v>北美</c:v>
                </c:pt>
                <c:pt idx="1">
                  <c:v>欧洲</c:v>
                </c:pt>
                <c:pt idx="2">
                  <c:v>中国</c:v>
                </c:pt>
                <c:pt idx="3">
                  <c:v>亚洲（不包括中国）</c:v>
                </c:pt>
                <c:pt idx="4">
                  <c:v>中东、非洲和拉丁美洲</c:v>
                </c:pt>
              </c:strCache>
            </c:strRef>
          </c:cat>
          <c:val>
            <c:numRef>
              <c:f>'地区-消费'!$AF$39:$AF$47</c:f>
              <c:numCache>
                <c:formatCode>General</c:formatCode>
                <c:ptCount val="5"/>
                <c:pt idx="0">
                  <c:v>104.49</c:v>
                </c:pt>
                <c:pt idx="1">
                  <c:v>134.92</c:v>
                </c:pt>
                <c:pt idx="2">
                  <c:v>78.57</c:v>
                </c:pt>
                <c:pt idx="3">
                  <c:v>181.96</c:v>
                </c:pt>
                <c:pt idx="4">
                  <c:v>8.57</c:v>
                </c:pt>
              </c:numCache>
            </c:numRef>
          </c:val>
        </c:ser>
        <c:ser>
          <c:idx val="2"/>
          <c:order val="2"/>
          <c:tx>
            <c:strRef>
              <c:f>'地区-消费'!$AG$1</c:f>
              <c:strCache>
                <c:ptCount val="1"/>
                <c:pt idx="0">
                  <c:v>2029</c:v>
                </c:pt>
              </c:strCache>
            </c:strRef>
          </c:tx>
          <c:spPr>
            <a:solidFill>
              <a:srgbClr val="002060"/>
            </a:solidFill>
            <a:ln>
              <a:noFill/>
            </a:ln>
            <a:effectLst/>
          </c:spPr>
          <c:invertIfNegative val="0"/>
          <c:dLbls>
            <c:delete val="1"/>
          </c:dLbls>
          <c:cat>
            <c:strRef>
              <c:f>'地区-消费'!$AD$39:$AD$47</c:f>
              <c:strCache>
                <c:ptCount val="5"/>
                <c:pt idx="0">
                  <c:v>北美</c:v>
                </c:pt>
                <c:pt idx="1">
                  <c:v>欧洲</c:v>
                </c:pt>
                <c:pt idx="2">
                  <c:v>中国</c:v>
                </c:pt>
                <c:pt idx="3">
                  <c:v>亚洲（不包括中国）</c:v>
                </c:pt>
                <c:pt idx="4">
                  <c:v>中东、非洲和拉丁美洲</c:v>
                </c:pt>
              </c:strCache>
            </c:strRef>
          </c:cat>
          <c:val>
            <c:numRef>
              <c:f>'地区-消费'!$AG$39:$AG$47</c:f>
              <c:numCache>
                <c:formatCode>General</c:formatCode>
                <c:ptCount val="5"/>
                <c:pt idx="0">
                  <c:v>186.74</c:v>
                </c:pt>
                <c:pt idx="1">
                  <c:v>462.09</c:v>
                </c:pt>
                <c:pt idx="2">
                  <c:v>410.3</c:v>
                </c:pt>
                <c:pt idx="3">
                  <c:v>499.89</c:v>
                </c:pt>
                <c:pt idx="4">
                  <c:v>32.06</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'地区-消费'!$A$39</c:f>
              <c:strCache>
                <c:ptCount val="1"/>
                <c:pt idx="0">
                  <c:v>北美</c:v>
                </c:pt>
              </c:strCache>
            </c:strRef>
          </c:tx>
          <c:spPr>
            <a:solidFill>
              <a:srgbClr val="00206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'地区-消费'!$Q$39:$AB$39</c:f>
              <c:numCache>
                <c:formatCode>0.0%</c:formatCode>
                <c:ptCount val="12"/>
                <c:pt idx="0">
                  <c:v>0.23192483784815</c:v>
                </c:pt>
                <c:pt idx="1">
                  <c:v>0.219204193471527</c:v>
                </c:pt>
                <c:pt idx="2">
                  <c:v>0.200801836685742</c:v>
                </c:pt>
                <c:pt idx="3">
                  <c:v>0.210917729690647</c:v>
                </c:pt>
                <c:pt idx="4">
                  <c:v>0.205482684706299</c:v>
                </c:pt>
                <c:pt idx="5">
                  <c:v>0.170131625526985</c:v>
                </c:pt>
                <c:pt idx="6">
                  <c:v>0.157436973105853</c:v>
                </c:pt>
                <c:pt idx="7">
                  <c:v>0.151926696495993</c:v>
                </c:pt>
                <c:pt idx="8">
                  <c:v>0.144829387691921</c:v>
                </c:pt>
                <c:pt idx="9">
                  <c:v>0.135590678453296</c:v>
                </c:pt>
                <c:pt idx="10">
                  <c:v>0.128682236860866</c:v>
                </c:pt>
                <c:pt idx="11">
                  <c:v>0.117366820021621</c:v>
                </c:pt>
              </c:numCache>
            </c:numRef>
          </c:val>
        </c:ser>
        <c:ser>
          <c:idx val="1"/>
          <c:order val="1"/>
          <c:tx>
            <c:strRef>
              <c:f>'地区-消费'!$A$40</c:f>
              <c:strCache>
                <c:ptCount val="1"/>
                <c:pt idx="0">
                  <c:v>欧洲</c:v>
                </c:pt>
              </c:strCache>
            </c:strRef>
          </c:tx>
          <c:spPr>
            <a:solidFill>
              <a:schemeClr val="bg1">
                <a:lumMod val="50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'地区-消费'!$Q$40:$AB$40</c:f>
              <c:numCache>
                <c:formatCode>0.0%</c:formatCode>
                <c:ptCount val="12"/>
                <c:pt idx="0">
                  <c:v>0.305227012590614</c:v>
                </c:pt>
                <c:pt idx="1">
                  <c:v>0.307521245333969</c:v>
                </c:pt>
                <c:pt idx="2">
                  <c:v>0.29469211527259</c:v>
                </c:pt>
                <c:pt idx="3">
                  <c:v>0.284692454681609</c:v>
                </c:pt>
                <c:pt idx="4">
                  <c:v>0.265324182415292</c:v>
                </c:pt>
                <c:pt idx="5">
                  <c:v>0.269510507514562</c:v>
                </c:pt>
                <c:pt idx="6">
                  <c:v>0.265280765274085</c:v>
                </c:pt>
                <c:pt idx="7">
                  <c:v>0.269297958907661</c:v>
                </c:pt>
                <c:pt idx="8">
                  <c:v>0.276394841480994</c:v>
                </c:pt>
                <c:pt idx="9">
                  <c:v>0.28096281546037</c:v>
                </c:pt>
                <c:pt idx="10">
                  <c:v>0.282430775372858</c:v>
                </c:pt>
                <c:pt idx="11">
                  <c:v>0.29042537144581</c:v>
                </c:pt>
              </c:numCache>
            </c:numRef>
          </c:val>
        </c:ser>
        <c:ser>
          <c:idx val="2"/>
          <c:order val="2"/>
          <c:tx>
            <c:strRef>
              <c:f>'地区-消费'!$A$41</c:f>
              <c:strCache>
                <c:ptCount val="1"/>
                <c:pt idx="0">
                  <c:v>中国</c:v>
                </c:pt>
              </c:strCache>
            </c:strRef>
          </c:tx>
          <c:spPr>
            <a:solidFill>
              <a:srgbClr val="0070C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'地区-消费'!$Q$41:$AB$41</c:f>
              <c:numCache>
                <c:formatCode>0.0%</c:formatCode>
                <c:ptCount val="12"/>
                <c:pt idx="0">
                  <c:v>0.0702499046165586</c:v>
                </c:pt>
                <c:pt idx="1">
                  <c:v>0.0703677229767294</c:v>
                </c:pt>
                <c:pt idx="2">
                  <c:v>0.0903950930336155</c:v>
                </c:pt>
                <c:pt idx="3">
                  <c:v>0.116252646800599</c:v>
                </c:pt>
                <c:pt idx="4">
                  <c:v>0.154510235786907</c:v>
                </c:pt>
                <c:pt idx="5">
                  <c:v>0.18702732275609</c:v>
                </c:pt>
                <c:pt idx="6">
                  <c:v>0.202915202607917</c:v>
                </c:pt>
                <c:pt idx="7">
                  <c:v>0.216022180396046</c:v>
                </c:pt>
                <c:pt idx="8">
                  <c:v>0.229559900544682</c:v>
                </c:pt>
                <c:pt idx="9">
                  <c:v>0.235663164560126</c:v>
                </c:pt>
                <c:pt idx="10">
                  <c:v>0.247647360766533</c:v>
                </c:pt>
                <c:pt idx="11">
                  <c:v>0.257875153983458</c:v>
                </c:pt>
              </c:numCache>
            </c:numRef>
          </c:val>
        </c:ser>
        <c:ser>
          <c:idx val="3"/>
          <c:order val="3"/>
          <c:tx>
            <c:strRef>
              <c:f>'地区-消费'!$A$42</c:f>
              <c:strCache>
                <c:ptCount val="1"/>
                <c:pt idx="0">
                  <c:v>亚洲（不包括中国）</c:v>
                </c:pt>
              </c:strCache>
            </c:strRef>
          </c:tx>
          <c:spPr>
            <a:solidFill>
              <a:srgbClr val="FFC00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'地区-消费'!$Q$42:$AB$42</c:f>
              <c:numCache>
                <c:formatCode>0.0%</c:formatCode>
                <c:ptCount val="12"/>
                <c:pt idx="0">
                  <c:v>0.377575352918733</c:v>
                </c:pt>
                <c:pt idx="1">
                  <c:v>0.389285997935033</c:v>
                </c:pt>
                <c:pt idx="2">
                  <c:v>0.39810848781825</c:v>
                </c:pt>
                <c:pt idx="3">
                  <c:v>0.370836130764861</c:v>
                </c:pt>
                <c:pt idx="4">
                  <c:v>0.357829737861596</c:v>
                </c:pt>
                <c:pt idx="5">
                  <c:v>0.356515302674348</c:v>
                </c:pt>
                <c:pt idx="6">
                  <c:v>0.357306042832904</c:v>
                </c:pt>
                <c:pt idx="7">
                  <c:v>0.345261307155657</c:v>
                </c:pt>
                <c:pt idx="8">
                  <c:v>0.330746979093099</c:v>
                </c:pt>
                <c:pt idx="9">
                  <c:v>0.328395390883414</c:v>
                </c:pt>
                <c:pt idx="10">
                  <c:v>0.321591524795392</c:v>
                </c:pt>
                <c:pt idx="11">
                  <c:v>0.314182819217136</c:v>
                </c:pt>
              </c:numCache>
            </c:numRef>
          </c:val>
        </c:ser>
        <c:ser>
          <c:idx val="4"/>
          <c:order val="4"/>
          <c:tx>
            <c:strRef>
              <c:f>'地区-消费'!$A$43</c:f>
              <c:strCache>
                <c:ptCount val="1"/>
                <c:pt idx="0">
                  <c:v>中东、非洲和拉丁美洲</c:v>
                </c:pt>
              </c:strCache>
            </c:strRef>
          </c:tx>
          <c:spPr>
            <a:solidFill>
              <a:schemeClr val="tx1">
                <a:lumMod val="65000"/>
                <a:lumOff val="35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'地区-消费'!$Q$43:$AB$43</c:f>
              <c:numCache>
                <c:formatCode>0.0%</c:formatCode>
                <c:ptCount val="12"/>
                <c:pt idx="0">
                  <c:v>0.0150228920259443</c:v>
                </c:pt>
                <c:pt idx="1">
                  <c:v>0.0136208402827416</c:v>
                </c:pt>
                <c:pt idx="2">
                  <c:v>0.0160024671898023</c:v>
                </c:pt>
                <c:pt idx="3">
                  <c:v>0.0173010380622837</c:v>
                </c:pt>
                <c:pt idx="4">
                  <c:v>0.016853159229907</c:v>
                </c:pt>
                <c:pt idx="5">
                  <c:v>0.0168152415280147</c:v>
                </c:pt>
                <c:pt idx="6">
                  <c:v>0.0170610161792409</c:v>
                </c:pt>
                <c:pt idx="7">
                  <c:v>0.0174918570446426</c:v>
                </c:pt>
                <c:pt idx="8">
                  <c:v>0.0184688911893037</c:v>
                </c:pt>
                <c:pt idx="9">
                  <c:v>0.0193879506427935</c:v>
                </c:pt>
                <c:pt idx="10">
                  <c:v>0.0196481022043517</c:v>
                </c:pt>
                <c:pt idx="11">
                  <c:v>0.0201498353319758</c:v>
                </c:pt>
              </c:numCache>
            </c:numRef>
          </c:val>
        </c:ser>
        <c:ser>
          <c:idx val="5"/>
          <c:order val="5"/>
          <c:tx>
            <c:strRef>
              <c:f>'地区-消费'!$A$44</c:f>
              <c:strCache>
                <c:ptCount val="1"/>
                <c:pt idx="0">
                  <c:v/>
                </c:pt>
              </c:strCache>
            </c:strRef>
          </c:tx>
          <c:spPr>
            <a:solidFill>
              <a:srgbClr val="C0000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'地区-消费'!$Q$44:$AB$44</c:f>
            </c:numRef>
          </c:val>
        </c:ser>
        <c:ser>
          <c:idx val="6"/>
          <c:order val="6"/>
          <c:tx>
            <c:strRef>
              <c:f>'地区-消费'!$A$45</c:f>
              <c:strCache>
                <c:ptCount val="1"/>
                <c:pt idx="0">
                  <c:v/>
                </c:pt>
              </c:strCache>
            </c:strRef>
          </c:tx>
          <c:spPr>
            <a:solidFill>
              <a:srgbClr val="7030A0"/>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'地区-消费'!$Q$45:$AB$45</c:f>
            </c:numRef>
          </c:val>
        </c:ser>
        <c:ser>
          <c:idx val="7"/>
          <c:order val="7"/>
          <c:tx>
            <c:strRef>
              <c:f>'地区-消费'!$A$46</c:f>
              <c:strCache>
                <c:ptCount val="1"/>
                <c:pt idx="0">
                  <c:v/>
                </c:pt>
              </c:strCache>
            </c:strRef>
          </c:tx>
          <c:spPr>
            <a:solidFill>
              <a:schemeClr val="tx2">
                <a:lumMod val="60000"/>
                <a:lumOff val="40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'地区-消费'!$Q$46:$AB$46</c:f>
            </c:numRef>
          </c:val>
        </c:ser>
        <c:ser>
          <c:idx val="8"/>
          <c:order val="8"/>
          <c:tx>
            <c:strRef>
              <c:f>'地区-消费'!$A$47</c:f>
              <c:strCache>
                <c:ptCount val="1"/>
                <c:pt idx="0">
                  <c:v/>
                </c:pt>
              </c:strCache>
            </c:strRef>
          </c:tx>
          <c:spPr>
            <a:solidFill>
              <a:schemeClr val="accent6">
                <a:lumMod val="75000"/>
              </a:schemeClr>
            </a:solidFill>
            <a:ln>
              <a:noFill/>
            </a:ln>
            <a:effectLst/>
          </c:spPr>
          <c:invertIfNegative val="0"/>
          <c:dLbls>
            <c:delete val="1"/>
          </c:dLbls>
          <c:cat>
            <c:numRef>
              <c:f>'地区-消费'!$Q$1:$AB$1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'地区-消费'!$Q$47:$AB$47</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0.56881</cdr:x>
      <cdr:y>0.20544</cdr:y>
    </cdr:from>
    <cdr:to>
      <cdr:x>0.72099</cdr:x>
      <cdr:y>0.4887</cdr:y>
    </cdr:to>
    <cdr:grpSp>
      <cdr:nvGrpSpPr>
        <cdr:cNvPr id="2" name="组合 1"/>
        <cdr:cNvGrpSpPr/>
      </cdr:nvGrpSpPr>
      <cdr:grpSpPr xmlns:a="http://schemas.openxmlformats.org/drawingml/2006/main">
        <a:xfrm rot="1131220">
          <a:off x="3520200" y="603352"/>
          <a:ext cx="941798" cy="831899"/>
          <a:chOff x="2917796" y="1142736"/>
          <a:chExt cx="642584" cy="683404"/>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917796" y="1142736"/>
            <a:ext cx="642584" cy="683404"/>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938946" y="1387103"/>
            <a:ext cx="610543" cy="19766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mn-lt"/>
                <a:ea typeface="宋体" panose="02010600030101010101" charset="-122"/>
              </a:rPr>
              <a:t>17.0%</a:t>
            </a:r>
            <a:endParaRPr lang="zh-CN" baseline="0">
              <a:solidFill>
                <a:sysClr val="windowText" lastClr="000000"/>
              </a:solidFill>
              <a:latin typeface="+mn-lt"/>
              <a:ea typeface="宋体" panose="02010600030101010101" charset="-122"/>
            </a:endParaRPr>
          </a:p>
        </cdr:txBody>
      </cdr:sp>
    </cdr:grpSp>
  </cdr:relSizeAnchor>
  <cdr:relSizeAnchor xmlns:cdr="http://schemas.openxmlformats.org/drawingml/2006/chartDrawing">
    <cdr:from>
      <cdr:x>0.23548</cdr:x>
      <cdr:y>0.47455</cdr:y>
    </cdr:from>
    <cdr:to>
      <cdr:x>0.42755</cdr:x>
      <cdr:y>0.74266</cdr:y>
    </cdr:to>
    <cdr:grpSp>
      <cdr:nvGrpSpPr>
        <cdr:cNvPr id="5" name="组合 4"/>
        <cdr:cNvGrpSpPr/>
      </cdr:nvGrpSpPr>
      <cdr:grpSpPr xmlns:a="http://schemas.openxmlformats.org/drawingml/2006/main">
        <a:xfrm rot="821707">
          <a:off x="1457317" y="1393694"/>
          <a:ext cx="1188666" cy="787406"/>
          <a:chOff x="3073551" y="1601306"/>
          <a:chExt cx="984923" cy="829966"/>
        </a:xfrm>
      </cdr:grpSpPr>
      <cdr:cxnSp>
        <cdr:nvCxnSpPr>
          <cdr:cNvPr id="6" name="直接箭头连接符 5"/>
          <cdr:cNvCxnSpPr/>
        </cdr:nvCxnSpPr>
        <cdr:spPr xmlns:a="http://schemas.openxmlformats.org/drawingml/2006/main">
          <a:xfrm xmlns:a="http://schemas.openxmlformats.org/drawingml/2006/main" rot="19816677" flipV="1">
            <a:off x="3073551" y="1788081"/>
            <a:ext cx="984923" cy="432476"/>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604715">
            <a:off x="3129479" y="1902982"/>
            <a:ext cx="829966" cy="226614"/>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rPr>
              <a:t>24.8%</a:t>
            </a:r>
            <a:endParaRPr lang="zh-CN">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577</Words>
  <Characters>3294</Characters>
  <Lines>27</Lines>
  <Paragraphs>7</Paragraphs>
  <TotalTime>0</TotalTime>
  <ScaleCrop>false</ScaleCrop>
  <LinksUpToDate>false</LinksUpToDate>
  <CharactersWithSpaces>3864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2023-12-14T05:57:18Z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C6B6C1817CD541968A26E2B8E9210397_13</vt:lpwstr>
  </property>
</Properties>
</file>