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olors1.xml" ContentType="application/vnd.ms-office.chartcolorstyle+xml"/>
  <Override PartName="/word/charts/style1.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ectPr>
          <w:headerReference r:id="rId5" w:type="first"/>
          <w:headerReference r:id="rId4" w:type="even"/>
          <w:pgSz w:w="11906" w:h="16838"/>
          <w:pgMar w:top="1418" w:right="1134" w:bottom="851" w:left="1134" w:header="709" w:footer="567" w:gutter="0"/>
          <w:pgNumType w:start="0"/>
          <w:cols w:space="708" w:num="1"/>
          <w:docGrid w:linePitch="360" w:charSpace="0"/>
        </w:sectPr>
      </w:pPr>
      <w:bookmarkStart w:id="14" w:name="_GoBack"/>
      <w:bookmarkEnd w:id="14"/>
      <w:bookmarkStart w:id="0" w:name="_Hlk23501351"/>
      <w:bookmarkStart w:id="1" w:name="OLE_LINK40"/>
      <w:bookmarkStart w:id="2" w:name="_Toc481801204"/>
      <w:bookmarkStart w:id="3" w:name="_Toc438987549"/>
      <w:bookmarkStart w:id="4" w:name="_Toc415143481"/>
      <w:bookmarkStart w:id="5" w:name="_Toc415818939"/>
      <w:bookmarkStart w:id="6" w:name="_Toc415142861"/>
      <w:bookmarkStart w:id="7" w:name="OLE_LINK13"/>
      <w:bookmarkStart w:id="8" w:name="_Toc453597319"/>
      <w:bookmarkStart w:id="9" w:name="_Toc517262917"/>
      <w:bookmarkStart w:id="10" w:name="OLE_LINK39"/>
      <w:bookmarkStart w:id="11" w:name="OLE_LINK15"/>
      <w:bookmarkStart w:id="12" w:name="_Toc418070112"/>
      <w:bookmarkStart w:id="13" w:name="OLE_LINK24"/>
      <w:r>
        <w:rPr>
          <w:sz w:val="24"/>
        </w:rPr>
        <mc:AlternateContent>
          <mc:Choice Requires="wps">
            <w:drawing>
              <wp:anchor distT="0" distB="0" distL="114300" distR="114300" simplePos="0" relativeHeight="251661312" behindDoc="0" locked="0" layoutInCell="1" allowOverlap="1">
                <wp:simplePos x="0" y="0"/>
                <wp:positionH relativeFrom="column">
                  <wp:posOffset>-172720</wp:posOffset>
                </wp:positionH>
                <wp:positionV relativeFrom="paragraph">
                  <wp:posOffset>1339850</wp:posOffset>
                </wp:positionV>
                <wp:extent cx="6352540" cy="2647315"/>
                <wp:effectExtent l="0" t="0" r="10160" b="635"/>
                <wp:wrapNone/>
                <wp:docPr id="56" name="文本框 56"/>
                <wp:cNvGraphicFramePr/>
                <a:graphic xmlns:a="http://schemas.openxmlformats.org/drawingml/2006/main">
                  <a:graphicData uri="http://schemas.microsoft.com/office/word/2010/wordprocessingShape">
                    <wps:wsp>
                      <wps:cNvSpPr txBox="1"/>
                      <wps:spPr>
                        <a:xfrm>
                          <a:off x="1651635" y="2068195"/>
                          <a:ext cx="6352540" cy="264731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宋体" w:hAnsi="宋体" w:eastAsia="宋体" w:cs="宋体"/>
                                <w:sz w:val="72"/>
                                <w:szCs w:val="72"/>
                              </w:rPr>
                            </w:pPr>
                            <w:r>
                              <w:rPr>
                                <w:rFonts w:hint="eastAsia" w:ascii="宋体" w:hAnsi="宋体" w:eastAsia="宋体" w:cs="宋体"/>
                                <w:sz w:val="72"/>
                                <w:szCs w:val="72"/>
                                <w:lang w:val="en-US" w:eastAsia="zh-CN"/>
                              </w:rPr>
                              <w:t>全球及中国智能听诊器</w:t>
                            </w:r>
                            <w:r>
                              <w:rPr>
                                <w:rFonts w:hint="eastAsia" w:ascii="宋体" w:hAnsi="宋体" w:eastAsia="宋体" w:cs="宋体"/>
                                <w:sz w:val="72"/>
                                <w:szCs w:val="72"/>
                                <w:lang w:val="en-US" w:eastAsia="zh-CN"/>
                              </w:rPr>
                              <w:t>行业市场</w:t>
                            </w:r>
                            <w:r>
                              <w:rPr>
                                <w:rFonts w:hint="eastAsia" w:ascii="宋体" w:hAnsi="宋体" w:eastAsia="宋体" w:cs="宋体"/>
                                <w:sz w:val="72"/>
                                <w:szCs w:val="72"/>
                              </w:rPr>
                              <w:t>份额调研报告</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6pt;margin-top:105.5pt;height:208.45pt;width:500.2pt;z-index:251661312;mso-width-relative:page;mso-height-relative:page;" fillcolor="#FFFFFF [3201]" filled="t" stroked="f" coordsize="21600,21600" o:gfxdata="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CjQ5lc&#10;1gAAAAsBAAAPAAAAAAAAAAEAIAAAACIAAABkcnMvZG93bnJldi54bWxQSwECFAAUAAAACACHTuJA&#10;F6EMYFwCAACeBAAADgAAAAAAAAABACAAAAAlAQAAZHJzL2Uyb0RvYy54bWxQSwUGAAAAAAYABgBZ&#10;AQAA8wUAAAAA&#10;">
                <v:fill on="t" focussize="0,0"/>
                <v:stroke on="f" weight="0.5pt"/>
                <v:imagedata o:title=""/>
                <o:lock v:ext="edit" aspectratio="f"/>
                <v:textbox>
                  <w:txbxContent>
                    <w:p>
                      <w:pPr>
                        <w:rPr>
                          <w:rFonts w:hint="eastAsia" w:ascii="宋体" w:hAnsi="宋体" w:eastAsia="宋体" w:cs="宋体"/>
                          <w:sz w:val="72"/>
                          <w:szCs w:val="72"/>
                        </w:rPr>
                      </w:pPr>
                      <w:r>
                        <w:rPr>
                          <w:rFonts w:hint="eastAsia" w:ascii="宋体" w:hAnsi="宋体" w:eastAsia="宋体" w:cs="宋体"/>
                          <w:sz w:val="72"/>
                          <w:szCs w:val="72"/>
                          <w:lang w:val="en-US" w:eastAsia="zh-CN"/>
                        </w:rPr>
                        <w:t>全球及中国智能听诊器</w:t>
                      </w:r>
                      <w:r>
                        <w:rPr>
                          <w:rFonts w:hint="eastAsia" w:ascii="宋体" w:hAnsi="宋体" w:eastAsia="宋体" w:cs="宋体"/>
                          <w:sz w:val="72"/>
                          <w:szCs w:val="72"/>
                          <w:lang w:val="en-US" w:eastAsia="zh-CN"/>
                        </w:rPr>
                        <w:t>行业市场</w:t>
                      </w:r>
                      <w:r>
                        <w:rPr>
                          <w:rFonts w:hint="eastAsia" w:ascii="宋体" w:hAnsi="宋体" w:eastAsia="宋体" w:cs="宋体"/>
                          <w:sz w:val="72"/>
                          <w:szCs w:val="72"/>
                        </w:rPr>
                        <w:t>份额调研报告</w:t>
                      </w:r>
                    </w:p>
                  </w:txbxContent>
                </v:textbox>
              </v:shape>
            </w:pict>
          </mc:Fallback>
        </mc:AlternateContent>
      </w:r>
      <w:r>
        <w:rPr>
          <w:rFonts w:hint="eastAsia" w:asciiTheme="minorEastAsia" w:hAnsiTheme="minorEastAsia" w:eastAsiaTheme="minorEastAsia" w:cstheme="minorEastAsia"/>
          <w:sz w:val="24"/>
          <w:szCs w:val="24"/>
          <w:lang w:eastAsia="zh-CN"/>
        </w:rPr>
        <w:drawing>
          <wp:anchor distT="0" distB="0" distL="114300" distR="114300" simplePos="0" relativeHeight="251660288" behindDoc="1" locked="0" layoutInCell="1" allowOverlap="1">
            <wp:simplePos x="0" y="0"/>
            <wp:positionH relativeFrom="column">
              <wp:posOffset>-718185</wp:posOffset>
            </wp:positionH>
            <wp:positionV relativeFrom="paragraph">
              <wp:posOffset>-881380</wp:posOffset>
            </wp:positionV>
            <wp:extent cx="7560310" cy="10690225"/>
            <wp:effectExtent l="0" t="0" r="2540" b="15875"/>
            <wp:wrapNone/>
            <wp:docPr id="3" name="图片 3"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协议封面"/>
                    <pic:cNvPicPr>
                      <a:picLocks noChangeAspect="1"/>
                    </pic:cNvPicPr>
                  </pic:nvPicPr>
                  <pic:blipFill>
                    <a:blip r:embed="rId7"/>
                    <a:stretch>
                      <a:fillRect/>
                    </a:stretch>
                  </pic:blipFill>
                  <pic:spPr>
                    <a:xfrm>
                      <a:off x="0" y="0"/>
                      <a:ext cx="7560310" cy="10690225"/>
                    </a:xfrm>
                    <a:prstGeom prst="rect">
                      <a:avLst/>
                    </a:prstGeom>
                  </pic:spPr>
                </pic:pic>
              </a:graphicData>
            </a:graphic>
          </wp:anchor>
        </w:drawing>
      </w:r>
    </w:p>
    <w:bookmarkEnd w:id="0"/>
    <w:bookmarkEnd w:id="1"/>
    <w:bookmarkEnd w:id="2"/>
    <w:bookmarkEnd w:id="3"/>
    <w:bookmarkEnd w:id="4"/>
    <w:bookmarkEnd w:id="5"/>
    <w:bookmarkEnd w:id="6"/>
    <w:bookmarkEnd w:id="7"/>
    <w:bookmarkEnd w:id="8"/>
    <w:bookmarkEnd w:id="9"/>
    <w:bookmarkEnd w:id="10"/>
    <w:bookmarkEnd w:id="11"/>
    <w:bookmarkEnd w:id="12"/>
    <w:bookmarkEnd w:id="13"/>
    <w:p>
      <w:pPr>
        <w:pStyle w:val="145"/>
        <w:rPr>
          <w:lang w:eastAsia="zh-CN"/>
        </w:rPr>
      </w:pPr>
      <w:r>
        <w:rPr>
          <w:rFonts w:hint="eastAsia"/>
          <w:lang w:eastAsia="zh-CN"/>
        </w:rPr>
        <w:t>智能听诊器是利用电子技术放大身体的声音，克服了声学听诊器噪音高的缺陷。智能听诊器需要转换的声的声波的电信号，然后被放大和处理，以获得最佳聆听。与声学听诊器相比，它们都是基于相同的物理原理。智能听诊器也可与计算机辅助听诊计划的分析所记录的心的声音病理或无辜的心脏杂音。</w:t>
      </w:r>
    </w:p>
    <w:p>
      <w:pPr>
        <w:pStyle w:val="145"/>
        <w:rPr>
          <w:lang w:eastAsia="zh-CN"/>
        </w:rPr>
      </w:pPr>
      <w:r>
        <w:rPr>
          <w:lang w:val="en-US" w:eastAsia="zh-CN"/>
        </w:rPr>
        <w:drawing>
          <wp:inline distT="0" distB="0" distL="0" distR="0">
            <wp:extent cx="4876800" cy="3286125"/>
            <wp:effectExtent l="0" t="0" r="0" b="9525"/>
            <wp:docPr id="1" name="图片 1" descr="eko-cor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eko-core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4876800" cy="3286125"/>
                    </a:xfrm>
                    <a:prstGeom prst="rect">
                      <a:avLst/>
                    </a:prstGeom>
                    <a:noFill/>
                    <a:ln>
                      <a:noFill/>
                    </a:ln>
                  </pic:spPr>
                </pic:pic>
              </a:graphicData>
            </a:graphic>
          </wp:inline>
        </w:drawing>
      </w:r>
    </w:p>
    <w:p>
      <w:pPr>
        <w:widowControl/>
        <w:topLinePunct w:val="0"/>
        <w:spacing w:after="0"/>
        <w:rPr>
          <w:rFonts w:ascii="Book Antiqua" w:hAnsi="Book Antiqua" w:cs="宋体"/>
          <w:kern w:val="0"/>
          <w:sz w:val="24"/>
          <w:szCs w:val="24"/>
        </w:rPr>
      </w:pPr>
      <w:r>
        <w:rPr>
          <w:rFonts w:ascii="Book Antiqua" w:hAnsi="Book Antiqua" w:cs="宋体"/>
          <w:kern w:val="0"/>
          <w:sz w:val="24"/>
          <w:szCs w:val="24"/>
        </w:rPr>
        <w:t>据调研团队最新报告“全球智能听诊器市场报告2023-2029”显示，预计2029年全球智能听诊器市场规模将达到3.1亿美元，未来几年年复合增长率CAGR为7.3%。</w:t>
      </w:r>
    </w:p>
    <w:p>
      <w:pPr>
        <w:pStyle w:val="145"/>
        <w:rPr>
          <w:lang w:val="en-US" w:eastAsia="zh-CN"/>
        </w:rPr>
      </w:pPr>
    </w:p>
    <w:p>
      <w:pPr>
        <w:pStyle w:val="148"/>
        <w:rPr>
          <w:lang w:eastAsia="zh-CN"/>
        </w:rPr>
      </w:pPr>
      <w:r>
        <w:rPr>
          <w:lang w:eastAsia="zh-CN"/>
        </w:rPr>
        <w:t>智能听诊器</w:t>
      </w:r>
      <w:r>
        <w:rPr>
          <w:rFonts w:hint="eastAsia"/>
          <w:lang w:eastAsia="zh-CN"/>
        </w:rPr>
        <w:t>，全球市场总体规模</w:t>
      </w:r>
    </w:p>
    <w:p>
      <w:pPr>
        <w:pStyle w:val="145"/>
      </w:pPr>
      <w:r>
        <w:drawing>
          <wp:inline distT="0" distB="0" distL="0" distR="0">
            <wp:extent cx="5218430" cy="2818765"/>
            <wp:effectExtent l="0" t="0" r="1270" b="63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9"/>
                    <a:stretch>
                      <a:fillRect/>
                    </a:stretch>
                  </pic:blipFill>
                  <pic:spPr>
                    <a:xfrm>
                      <a:off x="0" y="0"/>
                      <a:ext cx="5219048" cy="2819048"/>
                    </a:xfrm>
                    <a:prstGeom prst="rect">
                      <a:avLst/>
                    </a:prstGeom>
                  </pic:spPr>
                </pic:pic>
              </a:graphicData>
            </a:graphic>
          </wp:inline>
        </w:drawing>
      </w:r>
    </w:p>
    <w:p>
      <w:pPr>
        <w:pStyle w:val="143"/>
        <w:rPr>
          <w:lang w:eastAsia="zh-CN"/>
        </w:rPr>
      </w:pPr>
      <w:r>
        <w:rPr>
          <w:rFonts w:hint="eastAsia"/>
          <w:lang w:eastAsia="zh-CN"/>
        </w:rPr>
        <w:t>如上图表/数据，摘自QYResearch最新报告“全球</w:t>
      </w:r>
      <w:r>
        <w:rPr>
          <w:lang w:eastAsia="zh-CN"/>
        </w:rPr>
        <w:t>智能听诊器</w:t>
      </w:r>
      <w:r>
        <w:rPr>
          <w:rFonts w:hint="eastAsia"/>
          <w:lang w:eastAsia="zh-CN"/>
        </w:rPr>
        <w:t>市场研究报告2023-2029</w:t>
      </w:r>
      <w:r>
        <w:rPr>
          <w:lang w:eastAsia="zh-CN"/>
        </w:rPr>
        <w:t>.</w:t>
      </w:r>
    </w:p>
    <w:p>
      <w:pPr>
        <w:pStyle w:val="145"/>
        <w:rPr>
          <w:lang w:eastAsia="zh-CN"/>
        </w:rPr>
      </w:pPr>
    </w:p>
    <w:p>
      <w:pPr>
        <w:pStyle w:val="148"/>
        <w:rPr>
          <w:lang w:eastAsia="zh-CN"/>
        </w:rPr>
      </w:pPr>
      <w:r>
        <w:rPr>
          <w:rFonts w:hint="eastAsia"/>
          <w:lang w:eastAsia="zh-CN"/>
        </w:rPr>
        <w:t>全球</w:t>
      </w:r>
      <w:r>
        <w:rPr>
          <w:lang w:eastAsia="zh-CN"/>
        </w:rPr>
        <w:t>智能听诊器</w:t>
      </w:r>
      <w:r>
        <w:rPr>
          <w:rFonts w:hint="eastAsia"/>
          <w:lang w:eastAsia="zh-CN"/>
        </w:rPr>
        <w:t>市场前</w:t>
      </w:r>
      <w:r>
        <w:rPr>
          <w:lang w:eastAsia="zh-CN"/>
        </w:rPr>
        <w:t>12</w:t>
      </w:r>
      <w:r>
        <w:rPr>
          <w:rFonts w:hint="eastAsia"/>
          <w:lang w:eastAsia="zh-CN"/>
        </w:rPr>
        <w:t>强生产商排名及市场占有率（2</w:t>
      </w:r>
      <w:r>
        <w:rPr>
          <w:lang w:eastAsia="zh-CN"/>
        </w:rPr>
        <w:t>021</w:t>
      </w:r>
      <w:r>
        <w:rPr>
          <w:rFonts w:hint="eastAsia"/>
          <w:lang w:eastAsia="zh-CN"/>
        </w:rPr>
        <w:t>数据，持续更新）</w:t>
      </w:r>
    </w:p>
    <w:p>
      <w:pPr>
        <w:pStyle w:val="145"/>
        <w:jc w:val="center"/>
      </w:pPr>
      <w:r>
        <w:drawing>
          <wp:inline distT="0" distB="0" distL="0" distR="0">
            <wp:extent cx="4572000" cy="4399915"/>
            <wp:effectExtent l="0" t="0" r="0" b="635"/>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143"/>
        <w:rPr>
          <w:lang w:eastAsia="zh-CN"/>
        </w:rPr>
      </w:pPr>
      <w:r>
        <w:rPr>
          <w:rFonts w:hint="eastAsia"/>
          <w:lang w:eastAsia="zh-CN"/>
        </w:rPr>
        <w:t>如上图表/数据，摘自QYResearch最新报告“全球</w:t>
      </w:r>
      <w:r>
        <w:rPr>
          <w:lang w:eastAsia="zh-CN"/>
        </w:rPr>
        <w:t>智能听诊器</w:t>
      </w:r>
      <w:r>
        <w:rPr>
          <w:rFonts w:hint="eastAsia"/>
          <w:lang w:eastAsia="zh-CN"/>
        </w:rPr>
        <w:t>市场研究报告2023-2029中的2</w:t>
      </w:r>
      <w:r>
        <w:rPr>
          <w:lang w:eastAsia="zh-CN"/>
        </w:rPr>
        <w:t>021</w:t>
      </w:r>
      <w:r>
        <w:rPr>
          <w:rFonts w:hint="eastAsia"/>
          <w:lang w:eastAsia="zh-CN"/>
        </w:rPr>
        <w:t>年数据</w:t>
      </w:r>
      <w:r>
        <w:rPr>
          <w:lang w:eastAsia="zh-CN"/>
        </w:rPr>
        <w:t>.</w:t>
      </w:r>
    </w:p>
    <w:p>
      <w:pPr>
        <w:widowControl/>
        <w:topLinePunct w:val="0"/>
        <w:spacing w:after="0"/>
        <w:rPr>
          <w:rFonts w:ascii="Times New Roman" w:hAnsi="Times New Roman" w:cs="Times New Roman"/>
          <w:kern w:val="0"/>
          <w:sz w:val="22"/>
          <w:szCs w:val="22"/>
        </w:rPr>
      </w:pPr>
      <w:r>
        <w:rPr>
          <w:rFonts w:ascii="Times New Roman" w:hAnsi="Times New Roman" w:cs="Times New Roman"/>
          <w:kern w:val="0"/>
          <w:sz w:val="22"/>
          <w:szCs w:val="22"/>
        </w:rPr>
        <w:t>全球范围内智能听诊器生产商主要包括3M Littmann、Thinklabs、Hill-Rom、CliniCloud、American Diagnostics、Dongjin Medical、Cardionics、Eko Devices、EKuore、HD Medical等。2021年，全球前五大厂商占有大约81.0%的市场份额。</w:t>
      </w:r>
    </w:p>
    <w:p>
      <w:pPr>
        <w:pStyle w:val="145"/>
      </w:pPr>
    </w:p>
    <w:p>
      <w:pPr>
        <w:pStyle w:val="145"/>
        <w:rPr>
          <w:lang w:eastAsia="zh-CN"/>
        </w:rPr>
      </w:pPr>
    </w:p>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entury Gothic">
    <w:panose1 w:val="020B0502020202020204"/>
    <w:charset w:val="00"/>
    <w:family w:val="swiss"/>
    <w:pitch w:val="default"/>
    <w:sig w:usb0="00000287" w:usb1="00000000" w:usb2="00000000" w:usb3="00000000" w:csb0="2000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3F13"/>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16"/>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054"/>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9EB"/>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2AD"/>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20C"/>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21E"/>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42"/>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6E4D"/>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4ED"/>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244"/>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17C"/>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51"/>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3BD"/>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2E76B51"/>
    <w:rsid w:val="03447D4D"/>
    <w:rsid w:val="042F016D"/>
    <w:rsid w:val="070A2A99"/>
    <w:rsid w:val="07CE3ADB"/>
    <w:rsid w:val="07E72487"/>
    <w:rsid w:val="09B40479"/>
    <w:rsid w:val="0A413560"/>
    <w:rsid w:val="0A9D03F6"/>
    <w:rsid w:val="0B676BC5"/>
    <w:rsid w:val="0CE12BAF"/>
    <w:rsid w:val="0D126C01"/>
    <w:rsid w:val="0D223618"/>
    <w:rsid w:val="0F5116AE"/>
    <w:rsid w:val="118A2253"/>
    <w:rsid w:val="14DF00CB"/>
    <w:rsid w:val="16722A60"/>
    <w:rsid w:val="171325EA"/>
    <w:rsid w:val="1A6900E2"/>
    <w:rsid w:val="1B415BC7"/>
    <w:rsid w:val="1D517B25"/>
    <w:rsid w:val="1DB37BCA"/>
    <w:rsid w:val="20404975"/>
    <w:rsid w:val="20664BB5"/>
    <w:rsid w:val="20D506EC"/>
    <w:rsid w:val="214210A0"/>
    <w:rsid w:val="218E591C"/>
    <w:rsid w:val="21C42573"/>
    <w:rsid w:val="229F5759"/>
    <w:rsid w:val="24356AF4"/>
    <w:rsid w:val="243B67FF"/>
    <w:rsid w:val="27054714"/>
    <w:rsid w:val="299E43D8"/>
    <w:rsid w:val="29DC643B"/>
    <w:rsid w:val="2A5218FD"/>
    <w:rsid w:val="2C856399"/>
    <w:rsid w:val="2D9A265E"/>
    <w:rsid w:val="2F107C41"/>
    <w:rsid w:val="30A844DF"/>
    <w:rsid w:val="31BC43A8"/>
    <w:rsid w:val="31CE7B45"/>
    <w:rsid w:val="32915685"/>
    <w:rsid w:val="32925305"/>
    <w:rsid w:val="33301D0B"/>
    <w:rsid w:val="333A261A"/>
    <w:rsid w:val="354E0A01"/>
    <w:rsid w:val="35650626"/>
    <w:rsid w:val="36840A7D"/>
    <w:rsid w:val="38F85F83"/>
    <w:rsid w:val="38FB278B"/>
    <w:rsid w:val="398D7AFC"/>
    <w:rsid w:val="39984266"/>
    <w:rsid w:val="39CE0565"/>
    <w:rsid w:val="39F13F9D"/>
    <w:rsid w:val="3A522D3D"/>
    <w:rsid w:val="3E2171FA"/>
    <w:rsid w:val="3F721126"/>
    <w:rsid w:val="3F9F0CF0"/>
    <w:rsid w:val="425311DE"/>
    <w:rsid w:val="42677E7F"/>
    <w:rsid w:val="45433AAF"/>
    <w:rsid w:val="45921630"/>
    <w:rsid w:val="46136706"/>
    <w:rsid w:val="46845740"/>
    <w:rsid w:val="477F6C5D"/>
    <w:rsid w:val="48847404"/>
    <w:rsid w:val="494574C2"/>
    <w:rsid w:val="4A4A12EF"/>
    <w:rsid w:val="4B427308"/>
    <w:rsid w:val="508A77AF"/>
    <w:rsid w:val="508F1A38"/>
    <w:rsid w:val="50F25EDA"/>
    <w:rsid w:val="51ED73F6"/>
    <w:rsid w:val="53AB3ED4"/>
    <w:rsid w:val="551769A9"/>
    <w:rsid w:val="55671C2C"/>
    <w:rsid w:val="56F10111"/>
    <w:rsid w:val="58C93537"/>
    <w:rsid w:val="591D6844"/>
    <w:rsid w:val="5AE738B1"/>
    <w:rsid w:val="5C140AA0"/>
    <w:rsid w:val="5C2A2C44"/>
    <w:rsid w:val="5CF94596"/>
    <w:rsid w:val="5D0C1038"/>
    <w:rsid w:val="5EEC0249"/>
    <w:rsid w:val="5F6B1E1C"/>
    <w:rsid w:val="5FDF73FB"/>
    <w:rsid w:val="60B146B2"/>
    <w:rsid w:val="60C36BF4"/>
    <w:rsid w:val="62C06610"/>
    <w:rsid w:val="640843A9"/>
    <w:rsid w:val="64AF38BD"/>
    <w:rsid w:val="650D74DA"/>
    <w:rsid w:val="66D222BD"/>
    <w:rsid w:val="69AB2D6B"/>
    <w:rsid w:val="6B026BA0"/>
    <w:rsid w:val="6CE1026C"/>
    <w:rsid w:val="6D0475EA"/>
    <w:rsid w:val="6D891A42"/>
    <w:rsid w:val="6EB3022A"/>
    <w:rsid w:val="6F21085E"/>
    <w:rsid w:val="6F9D14AD"/>
    <w:rsid w:val="700468D2"/>
    <w:rsid w:val="70EA114F"/>
    <w:rsid w:val="71062FFD"/>
    <w:rsid w:val="71791CB7"/>
    <w:rsid w:val="72414F83"/>
    <w:rsid w:val="72492390"/>
    <w:rsid w:val="726A4AC3"/>
    <w:rsid w:val="73357A0F"/>
    <w:rsid w:val="739E3BBB"/>
    <w:rsid w:val="73D44095"/>
    <w:rsid w:val="75286F45"/>
    <w:rsid w:val="7A4024A0"/>
    <w:rsid w:val="7B540CE3"/>
    <w:rsid w:val="7B7C4426"/>
    <w:rsid w:val="7BA41D67"/>
    <w:rsid w:val="7C1977A8"/>
    <w:rsid w:val="7C99137B"/>
    <w:rsid w:val="7D2953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unhideWhenUsed/>
    <w:qFormat/>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unhideWhenUsed/>
    <w:qFormat/>
    <w:uiPriority w:val="39"/>
    <w:pPr>
      <w:ind w:left="1680" w:leftChars="800"/>
    </w:pPr>
  </w:style>
  <w:style w:type="paragraph" w:styleId="15">
    <w:name w:val="toc 3"/>
    <w:basedOn w:val="1"/>
    <w:next w:val="1"/>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unhideWhenUsed/>
    <w:qFormat/>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unhideWhenUsed/>
    <w:qFormat/>
    <w:uiPriority w:val="39"/>
  </w:style>
  <w:style w:type="paragraph" w:styleId="28">
    <w:name w:val="table of figures"/>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unhideWhenUsed/>
    <w:qFormat/>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qFormat/>
    <w:uiPriority w:val="0"/>
    <w:pPr>
      <w:ind w:left="842" w:hanging="422"/>
    </w:pPr>
    <w:rPr>
      <w:rFonts w:cs="宋体"/>
    </w:rPr>
  </w:style>
  <w:style w:type="paragraph" w:customStyle="1" w:styleId="124">
    <w:name w:val="样式 图表目录 + 左侧:  2 字符 悬挂缩进: 2 字符1"/>
    <w:basedOn w:val="28"/>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TOC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jpeg"/><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chart" Target="charts/chart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hzbz\Desktop\&#26032;&#24314;&#25991;&#20214;&#22841;%20(2)\Smart%20Stethoscopes%20&#26234;&#33021;&#21548;&#35786;&#22120;\&#35266;&#28857;&#25968;&#25454;&#22270;&#34920;&#27169;&#26495;-&#20840;&#29699;20231017%20&#23454;&#20064;&#21516;&#23398;%20(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050" b="0" i="0" u="none" strike="noStrike" kern="1200" spc="0" baseline="0">
                <a:solidFill>
                  <a:schemeClr val="tx1">
                    <a:lumMod val="65000"/>
                    <a:lumOff val="35000"/>
                  </a:schemeClr>
                </a:solidFill>
                <a:latin typeface="Book Antiqua" panose="02040602050305030304" pitchFamily="1" charset="0"/>
                <a:ea typeface="+mn-ea"/>
                <a:cs typeface="+mn-cs"/>
              </a:defRPr>
            </a:pPr>
            <a:r>
              <a:rPr lang="zh-CN" altLang="en-US" sz="1050">
                <a:latin typeface="Book Antiqua" panose="02040602050305030304" pitchFamily="1" charset="0"/>
              </a:rPr>
              <a:t>全球市场主要企业排名</a:t>
            </a:r>
            <a:endParaRPr lang="en-US" altLang="zh-CN" sz="1050">
              <a:latin typeface="Book Antiqua" panose="02040602050305030304" pitchFamily="1" charset="0"/>
            </a:endParaRPr>
          </a:p>
        </c:rich>
      </c:tx>
      <c:layout>
        <c:manualLayout>
          <c:xMode val="edge"/>
          <c:yMode val="edge"/>
          <c:x val="0.332020778652668"/>
          <c:y val="0.0346320818516983"/>
        </c:manualLayout>
      </c:layout>
      <c:overlay val="0"/>
      <c:spPr>
        <a:noFill/>
        <a:ln>
          <a:noFill/>
        </a:ln>
        <a:effectLst/>
      </c:spPr>
    </c:title>
    <c:autoTitleDeleted val="0"/>
    <c:plotArea>
      <c:layout/>
      <c:barChart>
        <c:barDir val="bar"/>
        <c:grouping val="clustered"/>
        <c:varyColors val="1"/>
        <c:ser>
          <c:idx val="0"/>
          <c:order val="0"/>
          <c:tx>
            <c:strRef>
              <c:f>企业排序!$G$1</c:f>
              <c:strCache>
                <c:ptCount val="1"/>
                <c:pt idx="0">
                  <c:v>2022</c:v>
                </c:pt>
              </c:strCache>
            </c:strRef>
          </c:tx>
          <c:spPr/>
          <c:invertIfNegative val="0"/>
          <c:dPt>
            <c:idx val="0"/>
            <c:invertIfNegative val="0"/>
            <c:bubble3D val="0"/>
            <c:spPr>
              <a:solidFill>
                <a:schemeClr val="accent1"/>
              </a:solidFill>
              <a:ln>
                <a:noFill/>
              </a:ln>
              <a:effectLst/>
            </c:spPr>
          </c:dPt>
          <c:dPt>
            <c:idx val="1"/>
            <c:invertIfNegative val="0"/>
            <c:bubble3D val="0"/>
            <c:spPr>
              <a:solidFill>
                <a:schemeClr val="accent2"/>
              </a:solidFill>
              <a:ln>
                <a:noFill/>
              </a:ln>
              <a:effectLst/>
            </c:spPr>
          </c:dPt>
          <c:dPt>
            <c:idx val="2"/>
            <c:invertIfNegative val="0"/>
            <c:bubble3D val="0"/>
            <c:spPr>
              <a:solidFill>
                <a:schemeClr val="accent3"/>
              </a:solidFill>
              <a:ln>
                <a:noFill/>
              </a:ln>
              <a:effectLst/>
            </c:spPr>
          </c:dPt>
          <c:dPt>
            <c:idx val="3"/>
            <c:invertIfNegative val="0"/>
            <c:bubble3D val="0"/>
            <c:spPr>
              <a:solidFill>
                <a:schemeClr val="accent4"/>
              </a:solidFill>
              <a:ln>
                <a:noFill/>
              </a:ln>
              <a:effectLst/>
            </c:spPr>
          </c:dPt>
          <c:dPt>
            <c:idx val="4"/>
            <c:invertIfNegative val="0"/>
            <c:bubble3D val="0"/>
            <c:spPr>
              <a:solidFill>
                <a:schemeClr val="accent5"/>
              </a:solidFill>
              <a:ln>
                <a:noFill/>
              </a:ln>
              <a:effectLst/>
            </c:spPr>
          </c:dPt>
          <c:dPt>
            <c:idx val="5"/>
            <c:invertIfNegative val="0"/>
            <c:bubble3D val="0"/>
            <c:spPr>
              <a:solidFill>
                <a:schemeClr val="accent6"/>
              </a:solidFill>
              <a:ln>
                <a:noFill/>
              </a:ln>
              <a:effectLst/>
            </c:spPr>
          </c:dPt>
          <c:dPt>
            <c:idx val="6"/>
            <c:invertIfNegative val="0"/>
            <c:bubble3D val="0"/>
            <c:spPr>
              <a:solidFill>
                <a:schemeClr val="accent1">
                  <a:lumMod val="60000"/>
                </a:schemeClr>
              </a:solidFill>
              <a:ln>
                <a:noFill/>
              </a:ln>
              <a:effectLst/>
            </c:spPr>
          </c:dPt>
          <c:dPt>
            <c:idx val="7"/>
            <c:invertIfNegative val="0"/>
            <c:bubble3D val="0"/>
            <c:spPr>
              <a:solidFill>
                <a:schemeClr val="accent2">
                  <a:lumMod val="60000"/>
                </a:schemeClr>
              </a:solidFill>
              <a:ln>
                <a:noFill/>
              </a:ln>
              <a:effectLst/>
            </c:spPr>
          </c:dPt>
          <c:dPt>
            <c:idx val="8"/>
            <c:invertIfNegative val="0"/>
            <c:bubble3D val="0"/>
            <c:spPr>
              <a:solidFill>
                <a:schemeClr val="accent3">
                  <a:lumMod val="60000"/>
                </a:schemeClr>
              </a:solidFill>
              <a:ln>
                <a:noFill/>
              </a:ln>
              <a:effectLst/>
            </c:spPr>
          </c:dPt>
          <c:dPt>
            <c:idx val="9"/>
            <c:invertIfNegative val="0"/>
            <c:bubble3D val="0"/>
            <c:spPr>
              <a:solidFill>
                <a:schemeClr val="accent4">
                  <a:lumMod val="60000"/>
                </a:schemeClr>
              </a:solidFill>
              <a:ln>
                <a:noFill/>
              </a:ln>
              <a:effectLst/>
            </c:spPr>
          </c:dPt>
          <c:dPt>
            <c:idx val="10"/>
            <c:invertIfNegative val="0"/>
            <c:bubble3D val="0"/>
            <c:spPr>
              <a:solidFill>
                <a:schemeClr val="accent5">
                  <a:lumMod val="60000"/>
                </a:schemeClr>
              </a:solidFill>
              <a:ln>
                <a:noFill/>
              </a:ln>
              <a:effectLst/>
            </c:spPr>
          </c:dPt>
          <c:dPt>
            <c:idx val="11"/>
            <c:invertIfNegative val="0"/>
            <c:bubble3D val="0"/>
            <c:spPr>
              <a:solidFill>
                <a:schemeClr val="accent6">
                  <a:lumMod val="60000"/>
                </a:schemeClr>
              </a:solidFill>
              <a:ln>
                <a:noFill/>
              </a:ln>
              <a:effectLst/>
            </c:spPr>
          </c:dPt>
          <c:dLbls>
            <c:delete val="1"/>
          </c:dLbls>
          <c:cat>
            <c:strRef>
              <c:f>企业排序!$F$2:$F$13</c:f>
              <c:strCache>
                <c:ptCount val="12"/>
                <c:pt idx="0">
                  <c:v>Childcare</c:v>
                </c:pt>
                <c:pt idx="1">
                  <c:v>SMART SOUND</c:v>
                </c:pt>
                <c:pt idx="2">
                  <c:v>HD Medical</c:v>
                </c:pt>
                <c:pt idx="3">
                  <c:v>EKuore</c:v>
                </c:pt>
                <c:pt idx="4">
                  <c:v>Eko Devices</c:v>
                </c:pt>
                <c:pt idx="5">
                  <c:v>Cardionics</c:v>
                </c:pt>
                <c:pt idx="6">
                  <c:v>Dongjin Medical</c:v>
                </c:pt>
                <c:pt idx="7">
                  <c:v>American Diagnostics</c:v>
                </c:pt>
                <c:pt idx="8">
                  <c:v>CliniCloud</c:v>
                </c:pt>
                <c:pt idx="9">
                  <c:v>Hill-Rom</c:v>
                </c:pt>
                <c:pt idx="10">
                  <c:v>Thinklabs</c:v>
                </c:pt>
                <c:pt idx="11">
                  <c:v>3M Littmann</c:v>
                </c:pt>
              </c:strCache>
            </c:strRef>
          </c:cat>
          <c:val>
            <c:numRef>
              <c:f>企业排序!$G$2:$G$13</c:f>
              <c:numCache>
                <c:formatCode>#,##0.00_ </c:formatCode>
                <c:ptCount val="12"/>
                <c:pt idx="0">
                  <c:v>0.11</c:v>
                </c:pt>
                <c:pt idx="1">
                  <c:v>0.13</c:v>
                </c:pt>
                <c:pt idx="2">
                  <c:v>0.47</c:v>
                </c:pt>
                <c:pt idx="3">
                  <c:v>0.54</c:v>
                </c:pt>
                <c:pt idx="4">
                  <c:v>1.31</c:v>
                </c:pt>
                <c:pt idx="5">
                  <c:v>1.85</c:v>
                </c:pt>
                <c:pt idx="6">
                  <c:v>4.83</c:v>
                </c:pt>
                <c:pt idx="7">
                  <c:v>5.03</c:v>
                </c:pt>
                <c:pt idx="8">
                  <c:v>9.39</c:v>
                </c:pt>
                <c:pt idx="9">
                  <c:v>17.51</c:v>
                </c:pt>
                <c:pt idx="10">
                  <c:v>20.74</c:v>
                </c:pt>
                <c:pt idx="11">
                  <c:v>91.54</c:v>
                </c:pt>
              </c:numCache>
            </c:numRef>
          </c:val>
        </c:ser>
        <c:dLbls>
          <c:showLegendKey val="0"/>
          <c:showVal val="0"/>
          <c:showCatName val="0"/>
          <c:showSerName val="0"/>
          <c:showPercent val="0"/>
          <c:showBubbleSize val="0"/>
        </c:dLbls>
        <c:gapWidth val="75"/>
        <c:axId val="1272139183"/>
        <c:axId val="1326546959"/>
      </c:barChart>
      <c:catAx>
        <c:axId val="1272139183"/>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326546959"/>
        <c:crosses val="autoZero"/>
        <c:auto val="1"/>
        <c:lblAlgn val="ctr"/>
        <c:lblOffset val="100"/>
        <c:noMultiLvlLbl val="0"/>
      </c:catAx>
      <c:valAx>
        <c:axId val="1326546959"/>
        <c:scaling>
          <c:orientation val="minMax"/>
        </c:scaling>
        <c:delete val="0"/>
        <c:axPos val="b"/>
        <c:majorGridlines>
          <c:spPr>
            <a:ln w="9525" cap="flat" cmpd="sng" algn="ctr">
              <a:noFill/>
              <a:round/>
            </a:ln>
            <a:effectLst/>
          </c:spPr>
        </c:majorGridlines>
        <c:numFmt formatCode="#,##0.0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2721391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6"/>
    <customShpInfo spid="_x0000_s2055"/>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5B06A4D-AEF5-4F7F-B711-D4CAB3BB3103}">
  <ds:schemaRefs/>
</ds:datastoreItem>
</file>

<file path=docProps/app.xml><?xml version="1.0" encoding="utf-8"?>
<Properties xmlns="http://schemas.openxmlformats.org/officeDocument/2006/extended-properties" xmlns:vt="http://schemas.openxmlformats.org/officeDocument/2006/docPropsVTypes">
  <Template>Normal.dotm</Template>
  <Pages>10</Pages>
  <Words>577</Words>
  <Characters>3294</Characters>
  <Lines>27</Lines>
  <Paragraphs>7</Paragraphs>
  <TotalTime>0</TotalTime>
  <ScaleCrop>false</ScaleCrop>
  <LinksUpToDate>false</LinksUpToDate>
  <CharactersWithSpaces>3864</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QYResearch创始人</cp:lastModifiedBy>
  <dcterms:modified xsi:type="dcterms:W3CDTF">2023-11-20T08:14:46Z</dcterms:modified>
  <cp:revision>805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973FB86B9C044B60A0C2D305A7F84BDF_13</vt:lpwstr>
  </property>
</Properties>
</file>