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_Toc415142861"/>
      <w:bookmarkStart w:id="1" w:name="OLE_LINK13"/>
      <w:bookmarkStart w:id="2" w:name="_Toc517262917"/>
      <w:bookmarkStart w:id="3" w:name="_Hlk23501351"/>
      <w:bookmarkStart w:id="4" w:name="_Toc438987549"/>
      <w:bookmarkStart w:id="5" w:name="_Toc415818939"/>
      <w:bookmarkStart w:id="6" w:name="_Toc481801204"/>
      <w:bookmarkStart w:id="7" w:name="_Toc415143481"/>
      <w:bookmarkStart w:id="8" w:name="OLE_LINK40"/>
      <w:bookmarkStart w:id="9" w:name="OLE_LINK39"/>
      <w:bookmarkStart w:id="10" w:name="OLE_LINK15"/>
      <w:bookmarkStart w:id="11" w:name="_Toc453597319"/>
      <w:bookmarkStart w:id="12" w:name="_Toc418070112"/>
      <w:bookmarkStart w:id="13" w:name="OLE_LINK24"/>
      <w:r>
        <w:rPr>
          <w:sz w:val="24"/>
        </w:rPr>
        <mc:AlternateContent>
          <mc:Choice Requires="wps">
            <w:drawing>
              <wp:anchor distT="0" distB="0" distL="114300" distR="114300" simplePos="0" relativeHeight="251661312" behindDoc="0" locked="0" layoutInCell="1" allowOverlap="1">
                <wp:simplePos x="0" y="0"/>
                <wp:positionH relativeFrom="column">
                  <wp:posOffset>417830</wp:posOffset>
                </wp:positionH>
                <wp:positionV relativeFrom="paragraph">
                  <wp:posOffset>1339850</wp:posOffset>
                </wp:positionV>
                <wp:extent cx="5761990" cy="2286000"/>
                <wp:effectExtent l="0" t="0" r="10160" b="0"/>
                <wp:wrapNone/>
                <wp:docPr id="56" name="文本框 56"/>
                <wp:cNvGraphicFramePr/>
                <a:graphic xmlns:a="http://schemas.openxmlformats.org/drawingml/2006/main">
                  <a:graphicData uri="http://schemas.microsoft.com/office/word/2010/wordprocessingShape">
                    <wps:wsp>
                      <wps:cNvSpPr txBox="1"/>
                      <wps:spPr>
                        <a:xfrm>
                          <a:off x="1651635" y="2068195"/>
                          <a:ext cx="5761990" cy="22860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鱼糜，全球市场研究报告2023-2029</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9pt;margin-top:105.5pt;height:180pt;width:453.7pt;z-index:251661312;mso-width-relative:page;mso-height-relative:page;" fillcolor="#FFFFFF [3201]" filled="t" stroked="f" coordsize="21600,21600" o:gfxdata="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jQ5lc&#10;1gAAAAsBAAAPAAAAAAAAAAEAIAAAACIAAABkcnMvZG93bnJldi54bWxQSwECFAAUAAAACACHTuJA&#10;F6EMYFwCAACeBAAADgAAAAAAAAABACAAAAAlAQAAZHJzL2Uyb0RvYy54bWxQSwUGAAAAAAYABgBZ&#10;AQAA8w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鱼糜，全球市场研究报告2023-2029</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7"/>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rPr>
          <w:lang w:eastAsia="zh-CN"/>
        </w:rPr>
      </w:pPr>
      <w:r>
        <w:rPr>
          <w:rFonts w:hint="eastAsia"/>
          <w:lang w:eastAsia="zh-CN"/>
        </w:rPr>
        <w:t>根据最新调研报告显示，预计2</w:t>
      </w:r>
      <w:r>
        <w:rPr>
          <w:lang w:eastAsia="zh-CN"/>
        </w:rPr>
        <w:t>029</w:t>
      </w:r>
      <w:r>
        <w:rPr>
          <w:rFonts w:hint="eastAsia"/>
          <w:lang w:eastAsia="zh-CN"/>
        </w:rPr>
        <w:t>年全球</w:t>
      </w:r>
      <w:r>
        <w:rPr>
          <w:lang w:eastAsia="zh-CN"/>
        </w:rPr>
        <w:t>鱼糜</w:t>
      </w:r>
      <w:r>
        <w:rPr>
          <w:rFonts w:hint="eastAsia"/>
          <w:lang w:eastAsia="zh-CN"/>
        </w:rPr>
        <w:t>市场规模将达到</w:t>
      </w:r>
      <w:r>
        <w:rPr>
          <w:lang w:eastAsia="zh-CN"/>
        </w:rPr>
        <w:t>9672.1</w:t>
      </w:r>
      <w:r>
        <w:rPr>
          <w:rFonts w:hint="eastAsia"/>
          <w:lang w:eastAsia="zh-CN"/>
        </w:rPr>
        <w:t>百万美元，未来几年年复合增长率CAGR为</w:t>
      </w:r>
      <w:r>
        <w:rPr>
          <w:lang w:eastAsia="zh-CN"/>
        </w:rPr>
        <w:t>8.25</w:t>
      </w:r>
      <w:r>
        <w:rPr>
          <w:rFonts w:hint="eastAsia"/>
          <w:lang w:eastAsia="zh-CN"/>
        </w:rPr>
        <w:t>%。</w:t>
      </w:r>
    </w:p>
    <w:p>
      <w:pPr>
        <w:pStyle w:val="145"/>
        <w:rPr>
          <w:lang w:eastAsia="zh-CN"/>
        </w:rPr>
      </w:pPr>
    </w:p>
    <w:p>
      <w:pPr>
        <w:pStyle w:val="148"/>
        <w:rPr>
          <w:lang w:eastAsia="zh-CN"/>
        </w:rPr>
      </w:pPr>
      <w:r>
        <w:rPr>
          <w:lang w:eastAsia="zh-CN"/>
        </w:rPr>
        <w:t>鱼糜</w:t>
      </w:r>
      <w:r>
        <w:rPr>
          <w:rFonts w:hint="eastAsia"/>
          <w:lang w:eastAsia="zh-CN"/>
        </w:rPr>
        <w:t>，全球市场总体规模，预计2</w:t>
      </w:r>
      <w:r>
        <w:rPr>
          <w:lang w:eastAsia="zh-CN"/>
        </w:rPr>
        <w:t>029</w:t>
      </w:r>
      <w:r>
        <w:rPr>
          <w:rFonts w:hint="eastAsia"/>
          <w:lang w:eastAsia="zh-CN"/>
        </w:rPr>
        <w:t>年达到</w:t>
      </w:r>
      <w:r>
        <w:rPr>
          <w:lang w:eastAsia="zh-CN"/>
        </w:rPr>
        <w:t>9672.1</w:t>
      </w:r>
      <w:r>
        <w:rPr>
          <w:rFonts w:hint="eastAsia"/>
          <w:lang w:eastAsia="zh-CN"/>
        </w:rPr>
        <w:t>百万美元</w:t>
      </w:r>
    </w:p>
    <w:p>
      <w:pPr>
        <w:pStyle w:val="145"/>
      </w:pPr>
      <w:r>
        <w:rPr>
          <w:lang w:val="en-US" w:eastAsia="zh-CN"/>
        </w:rPr>
        <w:drawing>
          <wp:inline distT="0" distB="0" distL="0" distR="0">
            <wp:extent cx="6419850" cy="3023870"/>
            <wp:effectExtent l="0" t="0" r="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6419850" cy="302387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鱼糜</w:t>
      </w:r>
      <w:r>
        <w:rPr>
          <w:rFonts w:hint="eastAsia"/>
          <w:lang w:eastAsia="zh-CN"/>
        </w:rPr>
        <w:t>市场研究报告2023-2029</w:t>
      </w:r>
      <w:r>
        <w:rPr>
          <w:lang w:eastAsia="zh-CN"/>
        </w:rPr>
        <w:t>.</w:t>
      </w:r>
    </w:p>
    <w:p>
      <w:pPr>
        <w:pStyle w:val="145"/>
        <w:rPr>
          <w:lang w:eastAsia="zh-CN"/>
        </w:rPr>
      </w:pPr>
      <w:r>
        <w:rPr>
          <w:rFonts w:hint="eastAsia"/>
          <w:lang w:eastAsia="zh-CN"/>
        </w:rPr>
        <w:t>主要驱动因素</w:t>
      </w:r>
      <w:r>
        <w:rPr>
          <w:lang w:eastAsia="zh-CN"/>
        </w:rPr>
        <w:t>:</w:t>
      </w:r>
    </w:p>
    <w:p>
      <w:pPr>
        <w:pStyle w:val="145"/>
        <w:rPr>
          <w:rFonts w:hint="eastAsia"/>
          <w:lang w:eastAsia="zh-CN"/>
        </w:rPr>
      </w:pPr>
      <w:r>
        <w:rPr>
          <w:rFonts w:hint="eastAsia"/>
          <w:lang w:eastAsia="zh-CN"/>
        </w:rPr>
        <w:t>1.鱼糜的中性味道和呈现各种风味的能力使其成为多种烹饪应用中的多功能成分。它通常用于寿司、仿蟹肉、海鲜沙拉和各种其他菜肴中，吸引了多样化的消费者群。</w:t>
      </w:r>
    </w:p>
    <w:p>
      <w:pPr>
        <w:pStyle w:val="145"/>
        <w:rPr>
          <w:rFonts w:hint="eastAsia"/>
          <w:lang w:eastAsia="zh-CN"/>
        </w:rPr>
      </w:pPr>
      <w:r>
        <w:rPr>
          <w:rFonts w:hint="eastAsia"/>
          <w:lang w:eastAsia="zh-CN"/>
        </w:rPr>
        <w:t>2.人们对过度捕捞和可持续发展问题的认识不断增强，促使消费者寻求海鲜替代品。鱼糜提供了一种可持续的选择，可以模仿传统海鲜产品的质地和味道。</w:t>
      </w:r>
    </w:p>
    <w:p>
      <w:pPr>
        <w:pStyle w:val="145"/>
        <w:rPr>
          <w:lang w:eastAsia="zh-CN"/>
        </w:rPr>
      </w:pPr>
      <w:r>
        <w:rPr>
          <w:rFonts w:hint="eastAsia"/>
          <w:lang w:eastAsia="zh-CN"/>
        </w:rPr>
        <w:t>3.与一些传统的海鲜选择相比，鱼糜通常被认为是一种瘦肉蛋白质来源，脂肪含量较低。随着注重健康的饮食习惯不断发展，鱼糜的营养成分使其受到消费者的青睐。</w:t>
      </w:r>
    </w:p>
    <w:p>
      <w:pPr>
        <w:pStyle w:val="145"/>
        <w:rPr>
          <w:lang w:eastAsia="zh-CN"/>
        </w:rPr>
      </w:pPr>
    </w:p>
    <w:p>
      <w:pPr>
        <w:pStyle w:val="145"/>
        <w:rPr>
          <w:rFonts w:hint="eastAsia"/>
          <w:lang w:eastAsia="zh-CN"/>
        </w:rPr>
      </w:pPr>
    </w:p>
    <w:p>
      <w:pPr>
        <w:pStyle w:val="145"/>
        <w:rPr>
          <w:lang w:eastAsia="zh-CN"/>
        </w:rPr>
      </w:pPr>
      <w:r>
        <w:rPr>
          <w:rFonts w:hint="eastAsia"/>
          <w:lang w:eastAsia="zh-CN"/>
        </w:rPr>
        <w:t>主要阻碍因素</w:t>
      </w:r>
      <w:r>
        <w:rPr>
          <w:lang w:eastAsia="zh-CN"/>
        </w:rPr>
        <w:t>:</w:t>
      </w:r>
    </w:p>
    <w:p>
      <w:pPr>
        <w:pStyle w:val="145"/>
        <w:rPr>
          <w:rFonts w:hint="eastAsia"/>
          <w:lang w:eastAsia="zh-CN"/>
        </w:rPr>
      </w:pPr>
      <w:r>
        <w:rPr>
          <w:rFonts w:hint="eastAsia"/>
          <w:lang w:eastAsia="zh-CN"/>
        </w:rPr>
        <w:t>1.与传统海鲜相比，一些消费者可能对鱼糜的质量和真实性持保留态度。解决这些看法并确保标签和营销的透明度至关重要。</w:t>
      </w:r>
    </w:p>
    <w:p>
      <w:pPr>
        <w:pStyle w:val="145"/>
        <w:rPr>
          <w:rFonts w:hint="eastAsia"/>
          <w:lang w:eastAsia="zh-CN"/>
        </w:rPr>
      </w:pPr>
      <w:r>
        <w:rPr>
          <w:rFonts w:hint="eastAsia"/>
          <w:lang w:eastAsia="zh-CN"/>
        </w:rPr>
        <w:t>2.鱼糜产品通常含有过敏原，例如鱼和添加剂。在包装上清楚地传达过敏原信息并解决与过敏相关的问题对于建立和维持消费者信任至关重要。</w:t>
      </w:r>
    </w:p>
    <w:p>
      <w:pPr>
        <w:pStyle w:val="145"/>
        <w:rPr>
          <w:rFonts w:hint="eastAsia"/>
          <w:lang w:eastAsia="zh-CN"/>
        </w:rPr>
      </w:pPr>
      <w:r>
        <w:rPr>
          <w:rFonts w:hint="eastAsia"/>
          <w:lang w:eastAsia="zh-CN"/>
        </w:rPr>
        <w:t>3.鱼糜面临来自新鲜海鲜产品的竞争，这些产品通常被认为更天然且加工程度较低。说服消费者选择鱼糜而不是新鲜替代品可能是一个挑战。</w:t>
      </w:r>
    </w:p>
    <w:p>
      <w:pPr>
        <w:pStyle w:val="145"/>
        <w:rPr>
          <w:lang w:eastAsia="zh-CN"/>
        </w:rPr>
      </w:pPr>
      <w:r>
        <w:rPr>
          <w:rFonts w:hint="eastAsia"/>
          <w:lang w:eastAsia="zh-CN"/>
        </w:rPr>
        <w:t>行业发展机遇</w:t>
      </w:r>
      <w:r>
        <w:rPr>
          <w:lang w:eastAsia="zh-CN"/>
        </w:rPr>
        <w:t>:</w:t>
      </w:r>
    </w:p>
    <w:p>
      <w:pPr>
        <w:pStyle w:val="145"/>
        <w:rPr>
          <w:rFonts w:hint="eastAsia"/>
          <w:lang w:eastAsia="zh-CN"/>
        </w:rPr>
      </w:pPr>
      <w:r>
        <w:rPr>
          <w:rFonts w:hint="eastAsia"/>
          <w:lang w:eastAsia="zh-CN"/>
        </w:rPr>
        <w:t>1.鱼糜产品的持续创新，例如新口味、质地和形式，提供了吸引消费者兴趣的机会。开发独特且有吸引力的鱼糜产品可以使品牌在市场上脱颖而出。</w:t>
      </w:r>
    </w:p>
    <w:p>
      <w:pPr>
        <w:pStyle w:val="145"/>
        <w:rPr>
          <w:rFonts w:hint="eastAsia"/>
          <w:lang w:eastAsia="zh-CN"/>
        </w:rPr>
      </w:pPr>
      <w:r>
        <w:rPr>
          <w:rFonts w:hint="eastAsia"/>
          <w:lang w:eastAsia="zh-CN"/>
        </w:rPr>
        <w:t>2.与一些传统海鲜产品相比，鱼糜作为一种脂肪含量较低的健康蛋白质选择，与人们对更健康食品选择不断增长的需求相一致。强调营养价值可以吸引注重健康的消费者。</w:t>
      </w:r>
    </w:p>
    <w:p>
      <w:pPr>
        <w:pStyle w:val="145"/>
        <w:rPr>
          <w:lang w:eastAsia="zh-CN"/>
        </w:rPr>
      </w:pPr>
      <w:r>
        <w:rPr>
          <w:rFonts w:hint="eastAsia"/>
          <w:lang w:eastAsia="zh-CN"/>
        </w:rPr>
        <w:t>3.使鱼糜产品种类多样化，包括零食、即食食品和其他方便的选择，可以满足不同消费者的喜好和使用场合。</w:t>
      </w:r>
    </w:p>
    <w:p>
      <w:pPr>
        <w:pStyle w:val="145"/>
        <w:rPr>
          <w:lang w:eastAsia="zh-CN"/>
        </w:rPr>
      </w:pPr>
    </w:p>
    <w:p>
      <w:pPr>
        <w:pStyle w:val="148"/>
        <w:rPr>
          <w:lang w:eastAsia="zh-CN"/>
        </w:rPr>
      </w:pPr>
      <w:r>
        <w:rPr>
          <w:rFonts w:hint="eastAsia"/>
          <w:lang w:eastAsia="zh-CN"/>
        </w:rPr>
        <w:t>全球</w:t>
      </w:r>
      <w:r>
        <w:rPr>
          <w:lang w:eastAsia="zh-CN"/>
        </w:rPr>
        <w:t>鱼糜</w:t>
      </w:r>
      <w:r>
        <w:rPr>
          <w:rFonts w:hint="eastAsia"/>
          <w:lang w:eastAsia="zh-CN"/>
        </w:rPr>
        <w:t>市场前</w:t>
      </w:r>
      <w:r>
        <w:rPr>
          <w:lang w:eastAsia="zh-CN"/>
        </w:rPr>
        <w:t>5</w:t>
      </w:r>
      <w:r>
        <w:rPr>
          <w:rFonts w:hint="eastAsia"/>
          <w:lang w:eastAsia="zh-CN"/>
        </w:rPr>
        <w:t>强生产商排名及市场占有率（持续更新）</w:t>
      </w:r>
    </w:p>
    <w:p>
      <w:pPr>
        <w:pStyle w:val="145"/>
        <w:jc w:val="center"/>
        <w:rPr>
          <w:lang w:eastAsia="zh-CN"/>
        </w:rPr>
      </w:pPr>
      <w:r>
        <w:rPr>
          <w:lang w:val="en-US" w:eastAsia="zh-CN"/>
        </w:rPr>
        <w:drawing>
          <wp:inline distT="0" distB="0" distL="0" distR="0">
            <wp:extent cx="4566285" cy="4048125"/>
            <wp:effectExtent l="0" t="0" r="571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566285" cy="404812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鱼糜</w:t>
      </w:r>
      <w:r>
        <w:rPr>
          <w:rFonts w:hint="eastAsia"/>
          <w:lang w:eastAsia="zh-CN"/>
        </w:rPr>
        <w:t>市场研究报告2023-2029</w:t>
      </w:r>
      <w:r>
        <w:rPr>
          <w:lang w:eastAsia="zh-CN"/>
        </w:rPr>
        <w:t>.</w:t>
      </w:r>
    </w:p>
    <w:p>
      <w:pPr>
        <w:pStyle w:val="145"/>
        <w:rPr>
          <w:lang w:eastAsia="zh-CN"/>
        </w:rPr>
      </w:pPr>
      <w:r>
        <w:rPr>
          <w:rFonts w:hint="eastAsia"/>
          <w:lang w:eastAsia="zh-CN"/>
        </w:rPr>
        <w:t>全球范围内，</w:t>
      </w:r>
      <w:r>
        <w:rPr>
          <w:lang w:eastAsia="zh-CN"/>
        </w:rPr>
        <w:t>鱼糜</w:t>
      </w:r>
      <w:r>
        <w:rPr>
          <w:rFonts w:hint="eastAsia"/>
          <w:lang w:eastAsia="zh-CN"/>
        </w:rPr>
        <w:t>主要生产商包括Viciunai Group，Trans-Ocean Products，Seaprimexco Vietnam，Thong Siek Global，Gadre Marine等，其中前五大厂商占有大约2</w:t>
      </w:r>
      <w:r>
        <w:rPr>
          <w:lang w:eastAsia="zh-CN"/>
        </w:rPr>
        <w:t>2.6</w:t>
      </w:r>
      <w:r>
        <w:rPr>
          <w:rFonts w:hint="eastAsia"/>
          <w:lang w:eastAsia="zh-CN"/>
        </w:rPr>
        <w:t>%的市场份额。</w:t>
      </w:r>
    </w:p>
    <w:p>
      <w:pPr>
        <w:pStyle w:val="145"/>
        <w:rPr>
          <w:lang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2A50666"/>
    <w:rsid w:val="02E3014B"/>
    <w:rsid w:val="02E76B51"/>
    <w:rsid w:val="03447D4D"/>
    <w:rsid w:val="039F62FF"/>
    <w:rsid w:val="042F016D"/>
    <w:rsid w:val="05405A2B"/>
    <w:rsid w:val="070A2A99"/>
    <w:rsid w:val="07287ACA"/>
    <w:rsid w:val="07CE3ADB"/>
    <w:rsid w:val="07E72487"/>
    <w:rsid w:val="086D0162"/>
    <w:rsid w:val="09B40479"/>
    <w:rsid w:val="0A413560"/>
    <w:rsid w:val="0A9D03F6"/>
    <w:rsid w:val="0AFE7196"/>
    <w:rsid w:val="0B676BC5"/>
    <w:rsid w:val="0BE3650F"/>
    <w:rsid w:val="0C1C1B6C"/>
    <w:rsid w:val="0C3C7EA2"/>
    <w:rsid w:val="0C946333"/>
    <w:rsid w:val="0CE12BAF"/>
    <w:rsid w:val="0D126C01"/>
    <w:rsid w:val="0D223618"/>
    <w:rsid w:val="0E550512"/>
    <w:rsid w:val="0F5116AE"/>
    <w:rsid w:val="105A40DF"/>
    <w:rsid w:val="1087172B"/>
    <w:rsid w:val="10A04854"/>
    <w:rsid w:val="113605CA"/>
    <w:rsid w:val="118A2253"/>
    <w:rsid w:val="121421B7"/>
    <w:rsid w:val="12B442BF"/>
    <w:rsid w:val="132135EE"/>
    <w:rsid w:val="14DF00CB"/>
    <w:rsid w:val="15391A5F"/>
    <w:rsid w:val="161C3356"/>
    <w:rsid w:val="161D5555"/>
    <w:rsid w:val="166C0B57"/>
    <w:rsid w:val="16722A60"/>
    <w:rsid w:val="170809D5"/>
    <w:rsid w:val="171325EA"/>
    <w:rsid w:val="17263809"/>
    <w:rsid w:val="18147C0E"/>
    <w:rsid w:val="182A5635"/>
    <w:rsid w:val="184461DF"/>
    <w:rsid w:val="191861B7"/>
    <w:rsid w:val="19D133E7"/>
    <w:rsid w:val="19E67B09"/>
    <w:rsid w:val="1A3A7593"/>
    <w:rsid w:val="1A6900E2"/>
    <w:rsid w:val="1AE01026"/>
    <w:rsid w:val="1B2C5C22"/>
    <w:rsid w:val="1B415BC7"/>
    <w:rsid w:val="1B6E410D"/>
    <w:rsid w:val="1C8D7DE8"/>
    <w:rsid w:val="1D517B25"/>
    <w:rsid w:val="1DB37BCA"/>
    <w:rsid w:val="1DD1717A"/>
    <w:rsid w:val="1E264686"/>
    <w:rsid w:val="1F990CE4"/>
    <w:rsid w:val="20404975"/>
    <w:rsid w:val="20664BB5"/>
    <w:rsid w:val="20D506EC"/>
    <w:rsid w:val="20ED3B94"/>
    <w:rsid w:val="214210A0"/>
    <w:rsid w:val="218E591C"/>
    <w:rsid w:val="21C42573"/>
    <w:rsid w:val="229F5759"/>
    <w:rsid w:val="22D20532"/>
    <w:rsid w:val="236D70AB"/>
    <w:rsid w:val="24356AF4"/>
    <w:rsid w:val="243B67FF"/>
    <w:rsid w:val="250F7ADC"/>
    <w:rsid w:val="25B22B68"/>
    <w:rsid w:val="26126405"/>
    <w:rsid w:val="27054714"/>
    <w:rsid w:val="27372964"/>
    <w:rsid w:val="28696559"/>
    <w:rsid w:val="28E41726"/>
    <w:rsid w:val="299E43D8"/>
    <w:rsid w:val="29DC643B"/>
    <w:rsid w:val="29FD43F1"/>
    <w:rsid w:val="2A5218FD"/>
    <w:rsid w:val="2C06004A"/>
    <w:rsid w:val="2C856399"/>
    <w:rsid w:val="2D090B71"/>
    <w:rsid w:val="2D373C3F"/>
    <w:rsid w:val="2D9A265E"/>
    <w:rsid w:val="2ED33660"/>
    <w:rsid w:val="2EF9001C"/>
    <w:rsid w:val="2F107C41"/>
    <w:rsid w:val="2FBF4562"/>
    <w:rsid w:val="30711E07"/>
    <w:rsid w:val="30A844DF"/>
    <w:rsid w:val="31BC43A8"/>
    <w:rsid w:val="31BD1E29"/>
    <w:rsid w:val="31C02DAE"/>
    <w:rsid w:val="31CE7B45"/>
    <w:rsid w:val="31EF007A"/>
    <w:rsid w:val="32915685"/>
    <w:rsid w:val="32925305"/>
    <w:rsid w:val="33301D0B"/>
    <w:rsid w:val="333A261A"/>
    <w:rsid w:val="33995EB7"/>
    <w:rsid w:val="33CF4D0C"/>
    <w:rsid w:val="34945D4F"/>
    <w:rsid w:val="34A64D70"/>
    <w:rsid w:val="34ED1C61"/>
    <w:rsid w:val="354E0A01"/>
    <w:rsid w:val="35650626"/>
    <w:rsid w:val="35684E2E"/>
    <w:rsid w:val="357A05CB"/>
    <w:rsid w:val="36840A7D"/>
    <w:rsid w:val="38232AA8"/>
    <w:rsid w:val="38356245"/>
    <w:rsid w:val="389030DC"/>
    <w:rsid w:val="38CB7A3E"/>
    <w:rsid w:val="38F85F83"/>
    <w:rsid w:val="38FB278B"/>
    <w:rsid w:val="398D7AFC"/>
    <w:rsid w:val="399248BD"/>
    <w:rsid w:val="39984266"/>
    <w:rsid w:val="39CE0565"/>
    <w:rsid w:val="39F13F9D"/>
    <w:rsid w:val="3A522D3D"/>
    <w:rsid w:val="3AC37B79"/>
    <w:rsid w:val="3BAF51F7"/>
    <w:rsid w:val="3CC92C1C"/>
    <w:rsid w:val="3CF93F15"/>
    <w:rsid w:val="3D6F51D8"/>
    <w:rsid w:val="3D947997"/>
    <w:rsid w:val="3DD50400"/>
    <w:rsid w:val="3E025A4C"/>
    <w:rsid w:val="3E2171FA"/>
    <w:rsid w:val="3E9704BE"/>
    <w:rsid w:val="3F2D1CB6"/>
    <w:rsid w:val="3F721126"/>
    <w:rsid w:val="3F9F0CF0"/>
    <w:rsid w:val="425311DE"/>
    <w:rsid w:val="42677E7F"/>
    <w:rsid w:val="43212B30"/>
    <w:rsid w:val="44757F5F"/>
    <w:rsid w:val="44E0180C"/>
    <w:rsid w:val="45433AAF"/>
    <w:rsid w:val="45921630"/>
    <w:rsid w:val="45AA4758"/>
    <w:rsid w:val="45D27E9B"/>
    <w:rsid w:val="46136706"/>
    <w:rsid w:val="4622569C"/>
    <w:rsid w:val="462369A1"/>
    <w:rsid w:val="46845740"/>
    <w:rsid w:val="46F91E7C"/>
    <w:rsid w:val="477F6C5D"/>
    <w:rsid w:val="48847404"/>
    <w:rsid w:val="494574C2"/>
    <w:rsid w:val="4A4A12EF"/>
    <w:rsid w:val="4A4D7CF5"/>
    <w:rsid w:val="4AE56F6F"/>
    <w:rsid w:val="4B427308"/>
    <w:rsid w:val="4B812670"/>
    <w:rsid w:val="4C054E48"/>
    <w:rsid w:val="4C537145"/>
    <w:rsid w:val="4D686C8D"/>
    <w:rsid w:val="4DFF2684"/>
    <w:rsid w:val="508942AC"/>
    <w:rsid w:val="508A77AF"/>
    <w:rsid w:val="508F1A38"/>
    <w:rsid w:val="50F25EDA"/>
    <w:rsid w:val="511C03A3"/>
    <w:rsid w:val="51656219"/>
    <w:rsid w:val="51804844"/>
    <w:rsid w:val="51ED73F6"/>
    <w:rsid w:val="52817C6A"/>
    <w:rsid w:val="52D41C73"/>
    <w:rsid w:val="53121757"/>
    <w:rsid w:val="53362C11"/>
    <w:rsid w:val="53AB3ED4"/>
    <w:rsid w:val="546A778A"/>
    <w:rsid w:val="5510379B"/>
    <w:rsid w:val="551769A9"/>
    <w:rsid w:val="55671C2C"/>
    <w:rsid w:val="56925E96"/>
    <w:rsid w:val="56B70654"/>
    <w:rsid w:val="56F10111"/>
    <w:rsid w:val="57391B27"/>
    <w:rsid w:val="57805B1E"/>
    <w:rsid w:val="57AD4064"/>
    <w:rsid w:val="585F1909"/>
    <w:rsid w:val="58C93537"/>
    <w:rsid w:val="591D6844"/>
    <w:rsid w:val="59227449"/>
    <w:rsid w:val="5AE738B1"/>
    <w:rsid w:val="5C140AA0"/>
    <w:rsid w:val="5C2A2C44"/>
    <w:rsid w:val="5CF4010E"/>
    <w:rsid w:val="5CF94596"/>
    <w:rsid w:val="5D0C1038"/>
    <w:rsid w:val="5D514C25"/>
    <w:rsid w:val="5E074753"/>
    <w:rsid w:val="5E363F9E"/>
    <w:rsid w:val="5EE42E3D"/>
    <w:rsid w:val="5EEC0249"/>
    <w:rsid w:val="5F6B1E1C"/>
    <w:rsid w:val="5FDF73FB"/>
    <w:rsid w:val="608060E1"/>
    <w:rsid w:val="60B146B2"/>
    <w:rsid w:val="60C36BF4"/>
    <w:rsid w:val="615E224C"/>
    <w:rsid w:val="62C01E93"/>
    <w:rsid w:val="62C06610"/>
    <w:rsid w:val="633F4960"/>
    <w:rsid w:val="640843A9"/>
    <w:rsid w:val="648B4982"/>
    <w:rsid w:val="64AF38BD"/>
    <w:rsid w:val="650D74DA"/>
    <w:rsid w:val="65811A17"/>
    <w:rsid w:val="662A0BAB"/>
    <w:rsid w:val="66BC5F1C"/>
    <w:rsid w:val="66D222BD"/>
    <w:rsid w:val="69880C71"/>
    <w:rsid w:val="69AB2D6B"/>
    <w:rsid w:val="6AC14AB2"/>
    <w:rsid w:val="6B026BA0"/>
    <w:rsid w:val="6B046820"/>
    <w:rsid w:val="6C974A38"/>
    <w:rsid w:val="6CE1026C"/>
    <w:rsid w:val="6D0475EA"/>
    <w:rsid w:val="6D7A7229"/>
    <w:rsid w:val="6D891A42"/>
    <w:rsid w:val="6EB3022A"/>
    <w:rsid w:val="6F21085E"/>
    <w:rsid w:val="6F32657A"/>
    <w:rsid w:val="6F6438D1"/>
    <w:rsid w:val="6F9D14AD"/>
    <w:rsid w:val="700468D2"/>
    <w:rsid w:val="706C4FFD"/>
    <w:rsid w:val="70EA114F"/>
    <w:rsid w:val="71062FFD"/>
    <w:rsid w:val="71791CB7"/>
    <w:rsid w:val="72414F83"/>
    <w:rsid w:val="72492390"/>
    <w:rsid w:val="726A4AC3"/>
    <w:rsid w:val="7271444E"/>
    <w:rsid w:val="73357A0F"/>
    <w:rsid w:val="73376795"/>
    <w:rsid w:val="73651863"/>
    <w:rsid w:val="739E3BBB"/>
    <w:rsid w:val="73D44095"/>
    <w:rsid w:val="74BF2D99"/>
    <w:rsid w:val="74C64922"/>
    <w:rsid w:val="75286F45"/>
    <w:rsid w:val="76C30EE4"/>
    <w:rsid w:val="780D5A03"/>
    <w:rsid w:val="78574EC9"/>
    <w:rsid w:val="787466AD"/>
    <w:rsid w:val="78967EE6"/>
    <w:rsid w:val="793144E1"/>
    <w:rsid w:val="7A4024A0"/>
    <w:rsid w:val="7B540CE3"/>
    <w:rsid w:val="7B7C4426"/>
    <w:rsid w:val="7BA41D67"/>
    <w:rsid w:val="7C1977A8"/>
    <w:rsid w:val="7C99137B"/>
    <w:rsid w:val="7D2953E6"/>
    <w:rsid w:val="7D817FF3"/>
    <w:rsid w:val="7DFC793D"/>
    <w:rsid w:val="7E261E06"/>
    <w:rsid w:val="7F0439F3"/>
    <w:rsid w:val="7F0B7AFA"/>
    <w:rsid w:val="7F1C1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577</Words>
  <Characters>3294</Characters>
  <Lines>27</Lines>
  <Paragraphs>7</Paragraphs>
  <TotalTime>0</TotalTime>
  <ScaleCrop>false</ScaleCrop>
  <LinksUpToDate>false</LinksUpToDate>
  <CharactersWithSpaces>3864</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2023-12-13T10:06:42Z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1A7B0D14E30C4793A8D0E1A50DA63087_13</vt:lpwstr>
  </property>
</Properties>
</file>