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030D6">
      <w:pPr>
        <w:wordWrap w:val="0"/>
        <w:spacing w:line="360" w:lineRule="auto"/>
        <w:jc w:val="center"/>
        <w:rPr>
          <w:rFonts w:hint="default" w:ascii="Times New Roman" w:hAnsi="Times New Roman" w:eastAsia="微软雅黑" w:cs="Times New Roman"/>
          <w:b/>
          <w:bCs/>
          <w:sz w:val="28"/>
          <w:szCs w:val="28"/>
        </w:rPr>
      </w:pPr>
      <w:r>
        <w:rPr>
          <w:rFonts w:hint="default" w:ascii="Times New Roman" w:hAnsi="Times New Roman" w:eastAsia="微软雅黑" w:cs="Times New Roman"/>
          <w:b/>
          <w:bCs/>
          <w:sz w:val="28"/>
          <w:szCs w:val="28"/>
        </w:rPr>
        <w:t>AbMole小课堂丨Neutral Protease II</w:t>
      </w:r>
      <w:r>
        <w:rPr>
          <w:rFonts w:hint="default" w:ascii="Times New Roman" w:hAnsi="Times New Roman" w:eastAsia="微软雅黑" w:cs="Times New Roman"/>
          <w:b/>
          <w:bCs/>
          <w:sz w:val="28"/>
          <w:szCs w:val="28"/>
        </w:rPr>
        <w:t>（中性蛋白酶II</w:t>
      </w:r>
      <w:r>
        <w:rPr>
          <w:rFonts w:hint="default" w:ascii="Times New Roman" w:hAnsi="Times New Roman" w:eastAsia="微软雅黑" w:cs="Times New Roman"/>
          <w:sz w:val="28"/>
          <w:szCs w:val="28"/>
        </w:rPr>
        <w:t>）</w:t>
      </w:r>
      <w:r>
        <w:rPr>
          <w:rFonts w:hint="default" w:ascii="Times New Roman" w:hAnsi="Times New Roman" w:eastAsia="微软雅黑" w:cs="Times New Roman"/>
          <w:b/>
          <w:bCs/>
          <w:sz w:val="28"/>
          <w:szCs w:val="28"/>
        </w:rPr>
        <w:t>：</w:t>
      </w:r>
      <w:r>
        <w:rPr>
          <w:rFonts w:hint="default" w:ascii="Times New Roman" w:hAnsi="Times New Roman" w:eastAsia="微软雅黑" w:cs="Times New Roman"/>
          <w:b/>
          <w:bCs/>
          <w:sz w:val="28"/>
          <w:szCs w:val="28"/>
        </w:rPr>
        <w:t>在</w:t>
      </w:r>
      <w:r>
        <w:rPr>
          <w:rFonts w:hint="default" w:ascii="Times New Roman" w:hAnsi="Times New Roman" w:eastAsia="微软雅黑" w:cs="Times New Roman"/>
          <w:b/>
          <w:bCs/>
          <w:sz w:val="28"/>
          <w:szCs w:val="28"/>
        </w:rPr>
        <w:t>细胞分离、组织解离与类器官</w:t>
      </w:r>
      <w:r>
        <w:rPr>
          <w:rFonts w:hint="default" w:ascii="Times New Roman" w:hAnsi="Times New Roman" w:eastAsia="微软雅黑" w:cs="Times New Roman"/>
          <w:b/>
          <w:bCs/>
          <w:sz w:val="28"/>
          <w:szCs w:val="28"/>
        </w:rPr>
        <w:t>培养上的应用</w:t>
      </w:r>
    </w:p>
    <w:p w14:paraId="180E2ABB">
      <w:pPr>
        <w:wordWrap w:val="0"/>
        <w:spacing w:line="360" w:lineRule="auto"/>
        <w:jc w:val="center"/>
        <w:rPr>
          <w:rFonts w:hint="default" w:ascii="Times New Roman" w:hAnsi="Times New Roman" w:eastAsia="微软雅黑" w:cs="Times New Roman"/>
          <w:b/>
          <w:bCs/>
          <w:sz w:val="28"/>
          <w:szCs w:val="28"/>
        </w:rPr>
      </w:pPr>
      <w:r>
        <w:rPr>
          <w:rFonts w:hint="default" w:ascii="Times New Roman" w:hAnsi="Times New Roman" w:eastAsia="微软雅黑" w:cs="Times New Roman"/>
          <w:b/>
          <w:bCs/>
          <w:sz w:val="28"/>
          <w:szCs w:val="28"/>
        </w:rPr>
        <w:t>AbMole小课堂丨Neutral Protease II（分散酶II）：从原代细胞分离到类器官传代的重要</w:t>
      </w:r>
      <w:r>
        <w:rPr>
          <w:rFonts w:hint="default" w:ascii="Times New Roman" w:hAnsi="Times New Roman" w:eastAsia="微软雅黑" w:cs="Times New Roman"/>
          <w:b/>
          <w:bCs/>
          <w:sz w:val="28"/>
          <w:szCs w:val="28"/>
        </w:rPr>
        <w:t>研究</w:t>
      </w:r>
      <w:r>
        <w:rPr>
          <w:rFonts w:hint="default" w:ascii="Times New Roman" w:hAnsi="Times New Roman" w:eastAsia="微软雅黑" w:cs="Times New Roman"/>
          <w:b/>
          <w:bCs/>
          <w:sz w:val="28"/>
          <w:szCs w:val="28"/>
        </w:rPr>
        <w:t>工具</w:t>
      </w:r>
    </w:p>
    <w:p w14:paraId="728A091E">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胞外</w:t>
      </w:r>
      <w:bookmarkStart w:id="0" w:name="_GoBack"/>
      <w:bookmarkEnd w:id="0"/>
      <w:r>
        <w:rPr>
          <w:rFonts w:hint="default" w:ascii="Times New Roman" w:hAnsi="Times New Roman" w:eastAsia="微软雅黑" w:cs="Times New Roman"/>
          <w:sz w:val="24"/>
          <w:szCs w:val="24"/>
        </w:rPr>
        <w:t>基质（ECM）作为细胞赖以生存的外界微环境，不仅为细胞提供结构支撑，还通过与细胞表面受体的相互作用调控细胞增殖、分化、迁移等关键生物学过程。在细胞生物学研究中，实现细胞与细胞外基质的温和解离、组织器官</w:t>
      </w:r>
      <w:r>
        <w:rPr>
          <w:rFonts w:hint="default" w:ascii="Times New Roman" w:hAnsi="Times New Roman" w:eastAsia="微软雅黑" w:cs="Times New Roman"/>
          <w:color w:val="EE0000"/>
          <w:sz w:val="24"/>
          <w:szCs w:val="24"/>
        </w:rPr>
        <w:t>中</w:t>
      </w:r>
      <w:r>
        <w:rPr>
          <w:rFonts w:hint="default" w:ascii="Times New Roman" w:hAnsi="Times New Roman" w:eastAsia="微软雅黑" w:cs="Times New Roman"/>
          <w:sz w:val="24"/>
          <w:szCs w:val="24"/>
        </w:rPr>
        <w:t>细胞</w:t>
      </w:r>
      <w:r>
        <w:rPr>
          <w:rFonts w:hint="default" w:ascii="Times New Roman" w:hAnsi="Times New Roman" w:eastAsia="微软雅黑" w:cs="Times New Roman"/>
          <w:color w:val="auto"/>
          <w:sz w:val="24"/>
          <w:szCs w:val="24"/>
        </w:rPr>
        <w:t>的</w:t>
      </w:r>
      <w:r>
        <w:rPr>
          <w:rFonts w:hint="default" w:ascii="Times New Roman" w:hAnsi="Times New Roman" w:eastAsia="微软雅黑" w:cs="Times New Roman"/>
          <w:sz w:val="24"/>
          <w:szCs w:val="24"/>
        </w:rPr>
        <w:t>精准分离是开展实验的前提。Neutral Protease II（</w:t>
      </w:r>
      <w:r>
        <w:rPr>
          <w:rFonts w:hint="default" w:ascii="Times New Roman" w:hAnsi="Times New Roman" w:eastAsia="微软雅黑" w:cs="Times New Roman"/>
          <w:sz w:val="24"/>
          <w:szCs w:val="24"/>
        </w:rPr>
        <w:t>中性蛋白酶II，分散酶II</w:t>
      </w:r>
      <w:r>
        <w:rPr>
          <w:rFonts w:hint="default" w:ascii="Times New Roman" w:hAnsi="Times New Roman" w:eastAsia="微软雅黑" w:cs="Times New Roman"/>
          <w:sz w:val="24"/>
          <w:szCs w:val="24"/>
        </w:rPr>
        <w:t>，AbMole，M21672）作为一种具有独特底物特异性的中性金属蛋白酶，能够在保持细胞活性的前提下，选择性降解细胞外基质中的纤维连接蛋白、层粘连蛋白等关键成分，同时避免对细胞表面的蛋白造成过度损伤。因此，Neutral Protease II在</w:t>
      </w:r>
      <w:r>
        <w:rPr>
          <w:rFonts w:hint="default" w:ascii="Times New Roman" w:hAnsi="Times New Roman" w:eastAsia="微软雅黑" w:cs="Times New Roman"/>
          <w:sz w:val="24"/>
          <w:szCs w:val="24"/>
        </w:rPr>
        <w:t>原代细胞的分离与培养</w:t>
      </w:r>
      <w:r>
        <w:rPr>
          <w:rFonts w:hint="default" w:ascii="Times New Roman" w:hAnsi="Times New Roman" w:eastAsia="微软雅黑" w:cs="Times New Roman"/>
          <w:sz w:val="24"/>
          <w:szCs w:val="24"/>
        </w:rPr>
        <w:t>、组织器官中的细胞解离以及类器官研究中有着广泛的应用。</w:t>
      </w:r>
      <w:r>
        <w:rPr>
          <w:rFonts w:hint="default" w:ascii="Times New Roman" w:hAnsi="Times New Roman" w:eastAsia="微软雅黑" w:cs="Times New Roman"/>
          <w:b/>
          <w:bCs/>
          <w:sz w:val="24"/>
          <w:szCs w:val="24"/>
        </w:rPr>
        <w:t>AbMole为全球科研客户提供高纯度、高生物活性的抑制剂、细胞因子、人源单抗、天然产物、荧光染料、多肽、化合物库、抗生素等科研试剂，全球大量文献专利引用。</w:t>
      </w:r>
    </w:p>
    <w:p w14:paraId="348CC527">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Neutral Protease II的作用机理</w:t>
      </w:r>
    </w:p>
    <w:p w14:paraId="17742962">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Neutral Protease II （</w:t>
      </w:r>
      <w:r>
        <w:rPr>
          <w:rFonts w:hint="default" w:ascii="Times New Roman" w:hAnsi="Times New Roman" w:eastAsia="微软雅黑" w:cs="Times New Roman"/>
          <w:sz w:val="24"/>
          <w:szCs w:val="24"/>
        </w:rPr>
        <w:t>中性蛋白酶II，分散酶II</w:t>
      </w:r>
      <w:r>
        <w:rPr>
          <w:rFonts w:hint="default" w:ascii="Times New Roman" w:hAnsi="Times New Roman" w:eastAsia="微软雅黑" w:cs="Times New Roman"/>
          <w:sz w:val="24"/>
          <w:szCs w:val="24"/>
        </w:rPr>
        <w:t>，AbMole，M21672）是一种源自芽孢杆菌（Bacillus polymyxa）的M4 家族金属蛋白酶，其成熟肽链由约480个氨基酸残基组成，Neutral Protease II 的三维结构呈现典型的 “沙漏型” 折叠，核心区域包含一个由锌离子</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两个组氨酸（His）</w:t>
      </w:r>
      <w:r>
        <w:rPr>
          <w:rFonts w:hint="default" w:ascii="Times New Roman" w:hAnsi="Times New Roman" w:eastAsia="微软雅黑" w:cs="Times New Roman"/>
          <w:color w:val="auto"/>
          <w:sz w:val="24"/>
          <w:szCs w:val="24"/>
        </w:rPr>
        <w:t>和</w:t>
      </w:r>
      <w:r>
        <w:rPr>
          <w:rFonts w:hint="default" w:ascii="Times New Roman" w:hAnsi="Times New Roman" w:eastAsia="微软雅黑" w:cs="Times New Roman"/>
          <w:sz w:val="24"/>
          <w:szCs w:val="24"/>
        </w:rPr>
        <w:t>一个谷氨酸（Glu）组成的活性中心，即 “HEXXH” 保守序列，这一结构是金属蛋白酶催化底物水解的关键位点。Neutral Protease II 具有严格的底物选择性，主要作用于细胞外基质中的纤维连接蛋白、层粘连蛋白、胶原蛋白 IV 型等非纤维状胶原成分，对 I 型、II 型等纤维状胶原的降解活性较低。其底物识别位点通常为含有亮氨酸（Leu）、异亮氨酸（Ile）等疏水氨基酸残基的肽键，尤其偏好水解位于疏水性氨基酸 C 端的肽键，这种特异性使其能够精准</w:t>
      </w:r>
      <w:r>
        <w:rPr>
          <w:rFonts w:hint="default" w:ascii="Times New Roman" w:hAnsi="Times New Roman" w:eastAsia="微软雅黑" w:cs="Times New Roman"/>
          <w:color w:val="auto"/>
          <w:sz w:val="24"/>
          <w:szCs w:val="24"/>
        </w:rPr>
        <w:t>解离</w:t>
      </w:r>
      <w:r>
        <w:rPr>
          <w:rFonts w:hint="default" w:ascii="Times New Roman" w:hAnsi="Times New Roman" w:eastAsia="微软雅黑" w:cs="Times New Roman"/>
          <w:sz w:val="24"/>
          <w:szCs w:val="24"/>
        </w:rPr>
        <w:t>细胞与细胞外基质之间的连接，而对细胞间直接连接（如紧密连接、桥粒）的影响较小。Neutral Protease II 的最适 pH 值范围为 7.0-8.0，属于中性蛋白酶，在生理 pH 环境下可保持较高的催化活性，Neutral Protease II 的最适反应温度为 37℃，与哺乳动物细胞的培养温度一致，进一步提升了其在细胞相关实验中的适用性。此外，Neutral Protease II 的活性依赖于锌离子的存在，EDTA 等金属离子螯合剂可通过螯合锌离子显著抑制Neutral Protease II 的活性，而 Ca²⁺则对</w:t>
      </w:r>
      <w:r>
        <w:rPr>
          <w:rFonts w:hint="default" w:ascii="Times New Roman" w:hAnsi="Times New Roman" w:eastAsia="微软雅黑" w:cs="Times New Roman"/>
          <w:color w:val="auto"/>
          <w:sz w:val="24"/>
          <w:szCs w:val="24"/>
        </w:rPr>
        <w:t>该</w:t>
      </w:r>
      <w:r>
        <w:rPr>
          <w:rFonts w:hint="default" w:ascii="Times New Roman" w:hAnsi="Times New Roman" w:eastAsia="微软雅黑" w:cs="Times New Roman"/>
          <w:sz w:val="24"/>
          <w:szCs w:val="24"/>
        </w:rPr>
        <w:t>酶的稳定性具有一定的促进作用，在反应体系中添加适量 Ca²⁺可延长</w:t>
      </w:r>
      <w:r>
        <w:rPr>
          <w:rFonts w:hint="default" w:ascii="Times New Roman" w:hAnsi="Times New Roman" w:eastAsia="微软雅黑" w:cs="Times New Roman"/>
          <w:color w:val="auto"/>
          <w:sz w:val="24"/>
          <w:szCs w:val="24"/>
        </w:rPr>
        <w:t>其</w:t>
      </w:r>
      <w:r>
        <w:rPr>
          <w:rFonts w:hint="default" w:ascii="Times New Roman" w:hAnsi="Times New Roman" w:eastAsia="微软雅黑" w:cs="Times New Roman"/>
          <w:sz w:val="24"/>
          <w:szCs w:val="24"/>
        </w:rPr>
        <w:t>活性维持时间。</w:t>
      </w:r>
    </w:p>
    <w:p w14:paraId="5E6461A0">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Neutral Protease II在科研领域中的应用</w:t>
      </w:r>
    </w:p>
    <w:p w14:paraId="4C022CD6">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Neutral Protease II（</w:t>
      </w:r>
      <w:r>
        <w:rPr>
          <w:rFonts w:hint="default" w:ascii="Times New Roman" w:hAnsi="Times New Roman" w:eastAsia="微软雅黑" w:cs="Times New Roman"/>
          <w:b/>
          <w:bCs/>
          <w:sz w:val="24"/>
          <w:szCs w:val="24"/>
        </w:rPr>
        <w:t>中性蛋白酶II，分散酶II</w:t>
      </w:r>
      <w:r>
        <w:rPr>
          <w:rFonts w:hint="default" w:ascii="Times New Roman" w:hAnsi="Times New Roman" w:eastAsia="微软雅黑" w:cs="Times New Roman"/>
          <w:b/>
          <w:bCs/>
          <w:sz w:val="24"/>
          <w:szCs w:val="24"/>
        </w:rPr>
        <w:t>）用于原代细胞分离</w:t>
      </w:r>
    </w:p>
    <w:p w14:paraId="0A7EF54C">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原代细胞因其保留了体内细胞的生物学特性，在细胞功能研究、药物筛选模型的构建等领域具有不可替代的作用。然而，组织中的细胞被大量胞外基质包裹，传统的机械研磨或胰蛋白酶消化方法往往存在细胞活性低、分离效率差等问题。Neutral Protease II（</w:t>
      </w:r>
      <w:r>
        <w:rPr>
          <w:rFonts w:hint="default" w:ascii="Times New Roman" w:hAnsi="Times New Roman" w:eastAsia="微软雅黑" w:cs="Times New Roman"/>
          <w:sz w:val="24"/>
          <w:szCs w:val="24"/>
        </w:rPr>
        <w:t>中性蛋白酶II，分散酶II</w:t>
      </w:r>
      <w:r>
        <w:rPr>
          <w:rFonts w:hint="default" w:ascii="Times New Roman" w:hAnsi="Times New Roman" w:eastAsia="微软雅黑" w:cs="Times New Roman"/>
          <w:sz w:val="24"/>
          <w:szCs w:val="24"/>
        </w:rPr>
        <w:t>，AbMole，M21672）凭借其温和的解离特性，已成为多种组织原代细胞分离的首选工具酶之一。例如，在小鼠乳腺上皮细胞的分离中，将乳腺组织剪碎后用 Neutral Protease II在 37℃下孵育 1-2 小时，可有效降解乳腺组织中的细胞外基质，使上皮细胞团从间质组织中分离，后续再</w:t>
      </w:r>
      <w:r>
        <w:rPr>
          <w:rFonts w:hint="default" w:ascii="Times New Roman" w:hAnsi="Times New Roman" w:eastAsia="微软雅黑" w:cs="Times New Roman"/>
          <w:color w:val="auto"/>
          <w:sz w:val="24"/>
          <w:szCs w:val="24"/>
        </w:rPr>
        <w:t>联</w:t>
      </w:r>
      <w:r>
        <w:rPr>
          <w:rFonts w:hint="default" w:ascii="Times New Roman" w:hAnsi="Times New Roman" w:eastAsia="微软雅黑" w:cs="Times New Roman"/>
          <w:sz w:val="24"/>
          <w:szCs w:val="24"/>
        </w:rPr>
        <w:t>合Collagenase I 消化</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即可获得高活性的乳腺上皮单细胞悬液</w:t>
      </w:r>
      <w:r>
        <w:rPr>
          <w:rFonts w:hint="default" w:ascii="Times New Roman" w:hAnsi="Times New Roman" w:eastAsia="微软雅黑" w:cs="Times New Roman"/>
          <w:sz w:val="24"/>
          <w:szCs w:val="24"/>
        </w:rPr>
        <w:fldChar w:fldCharType="begin">
          <w:fldData xml:space="preserve">PEVuZE5vdGU+PENpdGU+PEF1dGhvcj5TdGluZ2w8L0F1dGhvcj48WWVhcj4yMDA1PC9ZZWFyPjxS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PEVuZE5vdGU+PENpdGU+PEF1dGhvcj5TdGluZ2w8L0F1dGhvcj48WWVhcj4yMDA1PC9ZZWFyPjxS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。类似地，在神经干细胞的分离中，Neutral Protease II 可用于从胼胝骨下方区域分离出神经干细胞</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相较于胰蛋白酶，Neutral Protease II 能更好地保留神经干细胞的自我更新能力和分化潜能，分离得到的细胞在体外培养体系中可形成更多的神经球，且向神经元和胶质细胞分化的比例更高</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&lt;EndNote&gt;&lt;Cite&gt;&lt;Author&gt;Kim&lt;/Author&gt;&lt;Year&gt;2016&lt;/Year&gt;&lt;RecNum&gt;1091&lt;/RecNum&gt;&lt;DisplayText&gt;&lt;style face="superscript"&gt;[3]&lt;/style&gt;&lt;/DisplayText&gt;&lt;record&gt;&lt;rec-number&gt;1091&lt;/rec-number&gt;&lt;foreign-keys&gt;&lt;key app="EN" db-id="f2td9w00a22awteprfrp9vaup9d9zwa9tdfr" timestamp="1758006558"&gt;1091&lt;/key&gt;&lt;/foreign-keys&gt;&lt;ref-type name="Journal Article"&gt;17&lt;/ref-type&gt;&lt;contributors&gt;&lt;authors&gt;&lt;author&gt;Kim, J. Y.&lt;/author&gt;&lt;author&gt;Lee, J. H.&lt;/author&gt;&lt;author&gt;Sun, W.&lt;/author&gt;&lt;/authors&gt;&lt;/contributors&gt;&lt;auth-address&gt;Department of Anatomy, Korea University College of Medicine.&amp;#xD;Department of Anatomy, Korea University College of Medicine; woongsun@korea.ac.kr.&lt;/auth-address&gt;&lt;titles&gt;&lt;title&gt;Isolation and Culture of Adult Neural Stem Cells from the Mouse Subcallosal Zone&lt;/title&gt;&lt;secondary-title&gt;J Vis Exp&lt;/secondary-title&gt;&lt;alt-title&gt;Journal of visualized experiments : JoVE&lt;/alt-title&gt;&lt;/titles&gt;&lt;periodical&gt;&lt;full-title&gt;J Vis Exp&lt;/full-title&gt;&lt;abbr-1&gt;Journal of visualized experiments : JoVE&lt;/abbr-1&gt;&lt;/periodical&gt;&lt;alt-periodical&gt;&lt;full-title&gt;J Vis Exp&lt;/full-title&gt;&lt;abbr-1&gt;Journal of visualized experiments : JoVE&lt;/abbr-1&gt;&lt;/alt-periodical&gt;&lt;number&gt;118&lt;/number&gt;&lt;edition&gt;2017/01/07&lt;/edition&gt;&lt;keywords&gt;&lt;keyword&gt;Adult Stem Cells&lt;/keyword&gt;&lt;keyword&gt;Animals&lt;/keyword&gt;&lt;keyword&gt;Cell Differentiation&lt;/keyword&gt;&lt;keyword&gt;Mice&lt;/keyword&gt;&lt;keyword&gt;Nerve Regeneration/*physiology&lt;/keyword&gt;&lt;keyword&gt;Neural Stem Cells/*cytology&lt;/keyword&gt;&lt;keyword&gt;Neurons&lt;/keyword&gt;&lt;keyword&gt;Oligodendroglia&lt;/keyword&gt;&lt;keyword&gt;Prefrontal Cortex&lt;/keyword&gt;&lt;keyword&gt;Stem Cells&lt;/keyword&gt;&lt;/keywords&gt;&lt;dates&gt;&lt;year&gt;2016&lt;/year&gt;&lt;pub-dates&gt;&lt;date&gt;Dec 15&lt;/date&gt;&lt;/pub-dates&gt;&lt;/dates&gt;&lt;isbn&gt;1940-087x&lt;/isbn&gt;&lt;accession-num&gt;28060319&lt;/accession-num&gt;&lt;urls&gt;&lt;/urls&gt;&lt;custom2&gt;PMC5226414&lt;/custom2&gt;&lt;electronic-resource-num&gt;10.3791/54929&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r>
        <w:rPr>
          <w:rFonts w:hint="default" w:ascii="Times New Roman" w:hAnsi="Times New Roman" w:eastAsia="微软雅黑" w:cs="Times New Roman"/>
          <w:b/>
          <w:bCs/>
          <w:sz w:val="24"/>
          <w:szCs w:val="24"/>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sz w:val="24"/>
          <w:szCs w:val="24"/>
        </w:rPr>
        <w:t>。</w:t>
      </w:r>
    </w:p>
    <w:p w14:paraId="43951922">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802890" cy="3749040"/>
            <wp:effectExtent l="0" t="0" r="1651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2802890" cy="3749040"/>
                    </a:xfrm>
                    <a:prstGeom prst="rect">
                      <a:avLst/>
                    </a:prstGeom>
                    <a:noFill/>
                    <a:ln>
                      <a:noFill/>
                    </a:ln>
                  </pic:spPr>
                </pic:pic>
              </a:graphicData>
            </a:graphic>
          </wp:inline>
        </w:drawing>
      </w:r>
    </w:p>
    <w:p w14:paraId="49F213DA">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利用Neutral Protease II从胼胝骨下区分离出神经干细胞并形成神经球</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&lt;EndNote&gt;&lt;Cite&gt;&lt;Author&gt;Kim&lt;/Author&gt;&lt;Year&gt;2016&lt;/Year&gt;&lt;RecNum&gt;1091&lt;/RecNum&gt;&lt;DisplayText&gt;&lt;style face="superscript"&gt;[3]&lt;/style&gt;&lt;/DisplayText&gt;&lt;record&gt;&lt;rec-number&gt;1091&lt;/rec-number&gt;&lt;foreign-keys&gt;&lt;key app="EN" db-id="f2td9w00a22awteprfrp9vaup9d9zwa9tdfr" timestamp="1758006558"&gt;1091&lt;/key&gt;&lt;/foreign-keys&gt;&lt;ref-type name="Journal Article"&gt;17&lt;/ref-type&gt;&lt;contributors&gt;&lt;authors&gt;&lt;author&gt;Kim, J. Y.&lt;/author&gt;&lt;author&gt;Lee, J. H.&lt;/author&gt;&lt;author&gt;Sun, W.&lt;/author&gt;&lt;/authors&gt;&lt;/contributors&gt;&lt;auth-address&gt;Department of Anatomy, Korea University College of Medicine.&amp;#xD;Department of Anatomy, Korea University College of Medicine; woongsun@korea.ac.kr.&lt;/auth-address&gt;&lt;titles&gt;&lt;title&gt;Isolation and Culture of Adult Neural Stem Cells from the Mouse Subcallosal Zone&lt;/title&gt;&lt;secondary-title&gt;J Vis Exp&lt;/secondary-title&gt;&lt;alt-title&gt;Journal of visualized experiments : JoVE&lt;/alt-title&gt;&lt;/titles&gt;&lt;periodical&gt;&lt;full-title&gt;J Vis Exp&lt;/full-title&gt;&lt;abbr-1&gt;Journal of visualized experiments : JoVE&lt;/abbr-1&gt;&lt;/periodical&gt;&lt;alt-periodical&gt;&lt;full-title&gt;J Vis Exp&lt;/full-title&gt;&lt;abbr-1&gt;Journal of visualized experiments : JoVE&lt;/abbr-1&gt;&lt;/alt-periodical&gt;&lt;number&gt;118&lt;/number&gt;&lt;edition&gt;2017/01/07&lt;/edition&gt;&lt;keywords&gt;&lt;keyword&gt;Adult Stem Cells&lt;/keyword&gt;&lt;keyword&gt;Animals&lt;/keyword&gt;&lt;keyword&gt;Cell Differentiation&lt;/keyword&gt;&lt;keyword&gt;Mice&lt;/keyword&gt;&lt;keyword&gt;Nerve Regeneration/*physiology&lt;/keyword&gt;&lt;keyword&gt;Neural Stem Cells/*cytology&lt;/keyword&gt;&lt;keyword&gt;Neurons&lt;/keyword&gt;&lt;keyword&gt;Oligodendroglia&lt;/keyword&gt;&lt;keyword&gt;Prefrontal Cortex&lt;/keyword&gt;&lt;keyword&gt;Stem Cells&lt;/keyword&gt;&lt;/keywords&gt;&lt;dates&gt;&lt;year&gt;2016&lt;/year&gt;&lt;pub-dates&gt;&lt;date&gt;Dec 15&lt;/date&gt;&lt;/pub-dates&gt;&lt;/dates&gt;&lt;isbn&gt;1940-087x&lt;/isbn&gt;&lt;accession-num&gt;28060319&lt;/accession-num&gt;&lt;urls&gt;&lt;/urls&gt;&lt;custom2&gt;PMC5226414&lt;/custom2&gt;&lt;electronic-resource-num&gt;10.3791/54929&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p>
    <w:p w14:paraId="66F07E9D">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Neutral Protease II用于贴壁细胞传代</w:t>
      </w:r>
    </w:p>
    <w:p w14:paraId="333646D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对于某些贴壁生长能力较强的细胞系（如成纤维细胞、上皮细胞），传统的胰蛋白酶消化法可能导致细胞表面蛋白损伤，影响细胞的后续生长和功能。Neutral Protease II（</w:t>
      </w:r>
      <w:r>
        <w:rPr>
          <w:rFonts w:hint="default" w:ascii="Times New Roman" w:hAnsi="Times New Roman" w:eastAsia="微软雅黑" w:cs="Times New Roman"/>
          <w:sz w:val="24"/>
          <w:szCs w:val="24"/>
        </w:rPr>
        <w:t>中性蛋白酶II，分散酶II</w:t>
      </w:r>
      <w:r>
        <w:rPr>
          <w:rFonts w:hint="default" w:ascii="Times New Roman" w:hAnsi="Times New Roman" w:eastAsia="微软雅黑" w:cs="Times New Roman"/>
          <w:sz w:val="24"/>
          <w:szCs w:val="24"/>
        </w:rPr>
        <w:t>，AbMole，M21672）可通过特异性降解细胞与培养皿表面之间的细胞外基质成分（如纤维连接蛋白），实现细胞的温和解离。在实际操作中，将 Neutral Protease II 溶液加入培养皿中，37℃孵育数分钟后，细胞即可从培养皿表面脱落，且细胞聚集体较小，轻轻吹打即可分散，这可降低细胞机械损伤的风险。研究表明，使用 Neutral Protease II 传代的人皮肤成纤维细胞，其细胞活力和生长状态要优于传统胰蛋白酶和EDTA消化的细胞，这表明Neutral Protease II 对</w:t>
      </w:r>
      <w:r>
        <w:rPr>
          <w:rFonts w:hint="default" w:ascii="Times New Roman" w:hAnsi="Times New Roman" w:eastAsia="微软雅黑" w:cs="Times New Roman"/>
          <w:color w:val="auto"/>
          <w:sz w:val="24"/>
          <w:szCs w:val="24"/>
          <w:highlight w:val="none"/>
        </w:rPr>
        <w:t>某些</w:t>
      </w:r>
      <w:r>
        <w:rPr>
          <w:rFonts w:hint="default" w:ascii="Times New Roman" w:hAnsi="Times New Roman" w:eastAsia="微软雅黑" w:cs="Times New Roman"/>
          <w:sz w:val="24"/>
          <w:szCs w:val="24"/>
        </w:rPr>
        <w:t>细胞的生理功能影响更小</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&lt;EndNote&gt;&lt;Cite&gt;&lt;Author&gt;Cassiman&lt;/Author&gt;&lt;Year&gt;1981&lt;/Year&gt;&lt;RecNum&gt;1092&lt;/RecNum&gt;&lt;DisplayText&gt;&lt;style face="superscript"&gt;[4]&lt;/style&gt;&lt;/DisplayText&gt;&lt;record&gt;&lt;rec-number&gt;1092&lt;/rec-number&gt;&lt;foreign-keys&gt;&lt;key app="EN" db-id="f2td9w00a22awteprfrp9vaup9d9zwa9tdfr" timestamp="1758007193"&gt;1092&lt;/key&gt;&lt;/foreign-keys&gt;&lt;ref-type name="Journal Article"&gt;17&lt;/ref-type&gt;&lt;contributors&gt;&lt;authors&gt;&lt;author&gt;Cassiman, J. J.&lt;/author&gt;&lt;author&gt;Brugmans, M.&lt;/author&gt;&lt;author&gt;Van den Berghe, H.&lt;/author&gt;&lt;/authors&gt;&lt;/contributors&gt;&lt;titles&gt;&lt;title&gt;Growth and surface properties of dispase dissociated human fibroblasts&lt;/title&gt;&lt;secondary-title&gt;Cell Biology International Reports&lt;/secondary-title&gt;&lt;/titles&gt;&lt;periodical&gt;&lt;full-title&gt;Cell Biology International Reports&lt;/full-title&gt;&lt;/periodical&gt;&lt;pages&gt;125-132&lt;/pages&gt;&lt;volume&gt;5&lt;/volume&gt;&lt;number&gt;2&lt;/number&gt;&lt;dates&gt;&lt;year&gt;1981&lt;/year&gt;&lt;pub-dates&gt;&lt;date&gt;1981/02/01/&lt;/date&gt;&lt;/pub-dates&gt;&lt;/dates&gt;&lt;isbn&gt;0309-1651&lt;/isbn&gt;&lt;urls&gt;&lt;related-urls&gt;&lt;url&gt;https://www.sciencedirect.com/science/article/pii/0309165181900205&lt;/url&gt;&lt;/related-urls&gt;&lt;/urls&gt;&lt;electronic-resource-num&gt;https://doi.org/10.1016/0309-1651(81)90020-5&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44999D3">
      <w:pPr>
        <w:numPr>
          <w:ilvl w:val="0"/>
          <w:numId w:val="2"/>
        </w:num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t>Neutral Protease II用于组织器官解离</w:t>
      </w:r>
    </w:p>
    <w:p w14:paraId="569F1210">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随着单细胞测序技术的快速发展，获取高质量的单细胞悬液成为该技术应用的关键前提。对于结构复杂的组织器官（如肝脏、肾脏、肺脏），Neutral Protease II （</w:t>
      </w:r>
      <w:r>
        <w:rPr>
          <w:rFonts w:hint="default" w:ascii="Times New Roman" w:hAnsi="Times New Roman" w:eastAsia="微软雅黑" w:cs="Times New Roman"/>
          <w:sz w:val="24"/>
          <w:szCs w:val="24"/>
        </w:rPr>
        <w:t>中性蛋白酶II，分散酶II</w:t>
      </w:r>
      <w:r>
        <w:rPr>
          <w:rFonts w:hint="default" w:ascii="Times New Roman" w:hAnsi="Times New Roman" w:eastAsia="微软雅黑" w:cs="Times New Roman"/>
          <w:sz w:val="24"/>
          <w:szCs w:val="24"/>
        </w:rPr>
        <w:t>，AbMole，M21672）常与其他酶</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如胶原酶（Collagenase II，AbMole，M9973）、透明质酸酶（Hyaluronidase，AbMole，M9941）联合使用，构建高效的组织解离方案。以肌肉和骨骼组织为例，Neutral Protease II可联合Collagenase I</w:t>
      </w:r>
      <w:r>
        <w:rPr>
          <w:rFonts w:hint="default" w:ascii="Times New Roman" w:hAnsi="Times New Roman" w:eastAsia="微软雅黑" w:cs="Times New Roman"/>
          <w:color w:val="auto"/>
          <w:sz w:val="24"/>
          <w:szCs w:val="24"/>
        </w:rPr>
        <w:t>（胶原酶 I ）</w:t>
      </w:r>
      <w:r>
        <w:rPr>
          <w:rFonts w:hint="default" w:ascii="Times New Roman" w:hAnsi="Times New Roman" w:eastAsia="微软雅黑" w:cs="Times New Roman"/>
          <w:sz w:val="24"/>
          <w:szCs w:val="24"/>
        </w:rPr>
        <w:t xml:space="preserve"> 、Collagenase II</w:t>
      </w:r>
      <w:r>
        <w:rPr>
          <w:rFonts w:hint="default" w:ascii="Times New Roman" w:hAnsi="Times New Roman" w:eastAsia="微软雅黑" w:cs="Times New Roman"/>
          <w:color w:val="auto"/>
          <w:sz w:val="24"/>
          <w:szCs w:val="24"/>
        </w:rPr>
        <w:t>（胶原酶II）</w:t>
      </w:r>
      <w:r>
        <w:rPr>
          <w:rFonts w:hint="default" w:ascii="Times New Roman" w:hAnsi="Times New Roman" w:eastAsia="微软雅黑" w:cs="Times New Roman"/>
          <w:sz w:val="24"/>
          <w:szCs w:val="24"/>
        </w:rPr>
        <w:t xml:space="preserve"> 、Pronase 等酶从上述组织中分离出包括间充质干细胞、骨谱系细胞、软骨细胞、成纤维细胞、内皮细胞在内的单细胞混合群，这为单细胞测序技术提供了基础</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&lt;EndNote&gt;&lt;Cite&gt;&lt;Author&gt;Gao&lt;/Author&gt;&lt;Year&gt;2022&lt;/Year&gt;&lt;RecNum&gt;1093&lt;/RecNum&gt;&lt;DisplayText&gt;&lt;style face="superscript"&gt;[5]&lt;/style&gt;&lt;/DisplayText&gt;&lt;record&gt;&lt;rec-number&gt;1093&lt;/rec-number&gt;&lt;foreign-keys&gt;&lt;key app="EN" db-id="f2td9w00a22awteprfrp9vaup9d9zwa9tdfr" timestamp="1758008033"&gt;1093&lt;/key&gt;&lt;/foreign-keys&gt;&lt;ref-type name="Journal Article"&gt;17&lt;/ref-type&gt;&lt;contributors&gt;&lt;authors&gt;&lt;author&gt;Gao, Manman&lt;/author&gt;&lt;author&gt;Guo, Peng&lt;/author&gt;&lt;author&gt;Liu, Xizhe&lt;/author&gt;&lt;author&gt;Zhang, Penghui&lt;/author&gt;&lt;author&gt;He, Zhongyuan&lt;/author&gt;&lt;author&gt;Wen, Liru&lt;/author&gt;&lt;author&gt;Liu, Shaoyu&lt;/author&gt;&lt;author&gt;Zhou, Zhiyu&lt;/author&gt;&lt;author&gt;Zhu, Weimin&lt;/author&gt;&lt;/authors&gt;&lt;/contributors&gt;&lt;titles&gt;&lt;title&gt;Systematic study of single-cell isolation from musculoskeletal tissues for single-sell sequencing&lt;/title&gt;&lt;secondary-title&gt;BMC Molecular and Cell Biology&lt;/secondary-title&gt;&lt;/titles&gt;&lt;periodical&gt;&lt;full-title&gt;BMC Molecular and Cell Biology&lt;/full-title&gt;&lt;/periodical&gt;&lt;pages&gt;32&lt;/pages&gt;&lt;volume&gt;23&lt;/volume&gt;&lt;number&gt;1&lt;/number&gt;&lt;dates&gt;&lt;year&gt;2022&lt;/year&gt;&lt;pub-dates&gt;&lt;date&gt;2022/07/26&lt;/date&gt;&lt;/pub-dates&gt;&lt;/dates&gt;&lt;isbn&gt;2661-8850&lt;/isbn&gt;&lt;urls&gt;&lt;related-urls&gt;&lt;url&gt;https://doi.org/10.1186/s12860-022-00429-2&lt;/url&gt;&lt;/related-urls&gt;&lt;/urls&gt;&lt;electronic-resource-num&gt;10.1186/s12860-022-00429-2&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2F84C48F">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387600" cy="4414520"/>
            <wp:effectExtent l="0" t="0" r="1270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387600" cy="4414520"/>
                    </a:xfrm>
                    <a:prstGeom prst="rect">
                      <a:avLst/>
                    </a:prstGeom>
                    <a:noFill/>
                    <a:ln>
                      <a:noFill/>
                    </a:ln>
                  </pic:spPr>
                </pic:pic>
              </a:graphicData>
            </a:graphic>
          </wp:inline>
        </w:drawing>
      </w:r>
    </w:p>
    <w:p w14:paraId="13756623">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来自不同肌肉骨骼组织的单细胞分离方案示意图</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&lt;EndNote&gt;&lt;Cite&gt;&lt;Author&gt;Gao&lt;/Author&gt;&lt;Year&gt;2022&lt;/Year&gt;&lt;RecNum&gt;1093&lt;/RecNum&gt;&lt;DisplayText&gt;&lt;style face="superscript"&gt;[5]&lt;/style&gt;&lt;/DisplayText&gt;&lt;record&gt;&lt;rec-number&gt;1093&lt;/rec-number&gt;&lt;foreign-keys&gt;&lt;key app="EN" db-id="f2td9w00a22awteprfrp9vaup9d9zwa9tdfr" timestamp="1758008033"&gt;1093&lt;/key&gt;&lt;/foreign-keys&gt;&lt;ref-type name="Journal Article"&gt;17&lt;/ref-type&gt;&lt;contributors&gt;&lt;authors&gt;&lt;author&gt;Gao, Manman&lt;/author&gt;&lt;author&gt;Guo, Peng&lt;/author&gt;&lt;author&gt;Liu, Xizhe&lt;/author&gt;&lt;author&gt;Zhang, Penghui&lt;/author&gt;&lt;author&gt;He, Zhongyuan&lt;/author&gt;&lt;author&gt;Wen, Liru&lt;/author&gt;&lt;author&gt;Liu, Shaoyu&lt;/author&gt;&lt;author&gt;Zhou, Zhiyu&lt;/author&gt;&lt;author&gt;Zhu, Weimin&lt;/author&gt;&lt;/authors&gt;&lt;/contributors&gt;&lt;titles&gt;&lt;title&gt;Systematic study of single-cell isolation from musculoskeletal tissues for single-sell sequencing&lt;/title&gt;&lt;secondary-title&gt;BMC Molecular and Cell Biology&lt;/secondary-title&gt;&lt;/titles&gt;&lt;periodical&gt;&lt;full-title&gt;BMC Molecular and Cell Biology&lt;/full-title&gt;&lt;/periodical&gt;&lt;pages&gt;32&lt;/pages&gt;&lt;volume&gt;23&lt;/volume&gt;&lt;number&gt;1&lt;/number&gt;&lt;dates&gt;&lt;year&gt;2022&lt;/year&gt;&lt;pub-dates&gt;&lt;date&gt;2022/07/26&lt;/date&gt;&lt;/pub-dates&gt;&lt;/dates&gt;&lt;isbn&gt;2661-8850&lt;/isbn&gt;&lt;urls&gt;&lt;related-urls&gt;&lt;url&gt;https://doi.org/10.1186/s12860-022-00429-2&lt;/url&gt;&lt;/related-urls&gt;&lt;/urls&gt;&lt;electronic-resource-num&gt;10.1186/s12860-022-00429-2&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p>
    <w:p w14:paraId="19DC0B6F">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Neutral Protease II用于三维细胞培养与类器官构建</w:t>
      </w:r>
    </w:p>
    <w:p w14:paraId="5FCE8BBC">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类器官培养技术能够模拟体内细胞的生长微环境，更真实地反映细胞的生物学行为</w:t>
      </w:r>
      <w:r>
        <w:rPr>
          <w:rFonts w:hint="default" w:ascii="Times New Roman" w:hAnsi="Times New Roman" w:eastAsia="微软雅黑" w:cs="Times New Roman"/>
          <w:color w:val="auto"/>
          <w:sz w:val="24"/>
          <w:szCs w:val="24"/>
        </w:rPr>
        <w:t>。</w:t>
      </w:r>
      <w:r>
        <w:rPr>
          <w:rFonts w:hint="default" w:ascii="Times New Roman" w:hAnsi="Times New Roman" w:eastAsia="微软雅黑" w:cs="Times New Roman"/>
          <w:sz w:val="24"/>
          <w:szCs w:val="24"/>
        </w:rPr>
        <w:t>在类器官（包括肿瘤类器官、胚胎干细胞或诱导多能干细胞衍生的类器官）培养中，细胞一般接种于基质胶等三维支架中。如何从基质胶有效回收类器官细胞且不影响细胞的生物学参数，是类器官</w:t>
      </w:r>
      <w:r>
        <w:rPr>
          <w:rFonts w:hint="default" w:ascii="Times New Roman" w:hAnsi="Times New Roman" w:eastAsia="微软雅黑" w:cs="Times New Roman"/>
          <w:color w:val="auto"/>
          <w:sz w:val="24"/>
          <w:szCs w:val="24"/>
        </w:rPr>
        <w:t>培养</w:t>
      </w:r>
      <w:r>
        <w:rPr>
          <w:rFonts w:hint="default" w:ascii="Times New Roman" w:hAnsi="Times New Roman" w:eastAsia="微软雅黑" w:cs="Times New Roman"/>
          <w:sz w:val="24"/>
          <w:szCs w:val="24"/>
        </w:rPr>
        <w:t>中的关键问题。Neutral Protease II（</w:t>
      </w:r>
      <w:r>
        <w:rPr>
          <w:rFonts w:hint="default" w:ascii="Times New Roman" w:hAnsi="Times New Roman" w:eastAsia="微软雅黑" w:cs="Times New Roman"/>
          <w:sz w:val="24"/>
          <w:szCs w:val="24"/>
        </w:rPr>
        <w:t>中性蛋白酶II，分散酶II</w:t>
      </w:r>
      <w:r>
        <w:rPr>
          <w:rFonts w:hint="default" w:ascii="Times New Roman" w:hAnsi="Times New Roman" w:eastAsia="微软雅黑" w:cs="Times New Roman"/>
          <w:sz w:val="24"/>
          <w:szCs w:val="24"/>
        </w:rPr>
        <w:t>，AbMole，M21672）可</w:t>
      </w:r>
      <w:r>
        <w:rPr>
          <w:rFonts w:hint="default" w:ascii="Times New Roman" w:hAnsi="Times New Roman" w:eastAsia="微软雅黑" w:cs="Times New Roman"/>
          <w:sz w:val="24"/>
          <w:szCs w:val="24"/>
        </w:rPr>
        <w:t>用于类器官中的基质胶降解和类器官的消化传代。</w:t>
      </w:r>
    </w:p>
    <w:p w14:paraId="4685EBF2">
      <w:pPr>
        <w:wordWrap w:val="0"/>
        <w:spacing w:line="360" w:lineRule="auto"/>
        <w:ind w:firstLine="2160" w:firstLineChars="9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667000" cy="1366520"/>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2667000" cy="1366520"/>
                    </a:xfrm>
                    <a:prstGeom prst="rect">
                      <a:avLst/>
                    </a:prstGeom>
                    <a:noFill/>
                    <a:ln>
                      <a:noFill/>
                    </a:ln>
                  </pic:spPr>
                </pic:pic>
              </a:graphicData>
            </a:graphic>
          </wp:inline>
        </w:drawing>
      </w:r>
    </w:p>
    <w:p w14:paraId="1AB982FA">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Dispase与其它基质胶降解方法的比较</w:t>
      </w:r>
      <w:r>
        <w:rPr>
          <w:rFonts w:hint="default" w:ascii="Times New Roman" w:hAnsi="Times New Roman" w:eastAsia="微软雅黑" w:cs="Times New Roman"/>
          <w:sz w:val="24"/>
          <w:szCs w:val="24"/>
        </w:rPr>
        <w:fldChar w:fldCharType="begin">
          <w:fldData xml:space="preserve">PEVuZE5vdGU+PENpdGU+PEF1dGhvcj5XYW5nPC9BdXRob3I+PFllYXI+MjAyMjwvWWVhcj48UmVj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PEVuZE5vdGU+PENpdGU+PEF1dGhvcj5XYW5nPC9BdXRob3I+PFllYXI+MjAyMjwvWWVhcj48UmVj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p>
    <w:p w14:paraId="050A9571">
      <w:pPr>
        <w:wordWrap w:val="0"/>
        <w:topLinePunct/>
        <w:spacing w:line="360" w:lineRule="auto"/>
        <w:rPr>
          <w:rFonts w:hint="default" w:ascii="Times New Roman" w:hAnsi="Times New Roman" w:eastAsia="微软雅黑" w:cs="Times New Roman"/>
          <w:b/>
          <w:bCs/>
          <w:sz w:val="24"/>
          <w:szCs w:val="24"/>
        </w:rPr>
      </w:pPr>
    </w:p>
    <w:p w14:paraId="146E99CC">
      <w:pPr>
        <w:wordWrap w:val="0"/>
        <w:topLinePunct/>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AbMole是ChemBridge中国区官方指定合作伙伴。</w:t>
      </w:r>
    </w:p>
    <w:p w14:paraId="73C5A821">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0" distR="0">
            <wp:extent cx="5638800" cy="1706880"/>
            <wp:effectExtent l="0" t="0" r="0" b="7620"/>
            <wp:docPr id="625708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708531" name="图片 1"/>
                    <pic:cNvPicPr>
                      <a:picLocks noChangeAspect="1"/>
                    </pic:cNvPicPr>
                  </pic:nvPicPr>
                  <pic:blipFill>
                    <a:blip r:embed="rId7"/>
                    <a:stretch>
                      <a:fillRect/>
                    </a:stretch>
                  </pic:blipFill>
                  <pic:spPr>
                    <a:xfrm>
                      <a:off x="0" y="0"/>
                      <a:ext cx="5640334" cy="1707175"/>
                    </a:xfrm>
                    <a:prstGeom prst="rect">
                      <a:avLst/>
                    </a:prstGeom>
                  </pic:spPr>
                </pic:pic>
              </a:graphicData>
            </a:graphic>
          </wp:inline>
        </w:drawing>
      </w:r>
    </w:p>
    <w:p w14:paraId="52EEA474">
      <w:pPr>
        <w:wordWrap w:val="0"/>
        <w:spacing w:line="360" w:lineRule="auto"/>
        <w:rPr>
          <w:rFonts w:hint="default" w:ascii="Times New Roman" w:hAnsi="Times New Roman" w:eastAsia="微软雅黑" w:cs="Times New Roman"/>
          <w:b/>
          <w:bCs/>
          <w:sz w:val="24"/>
          <w:szCs w:val="24"/>
        </w:rPr>
      </w:pPr>
    </w:p>
    <w:p w14:paraId="59E25F0D">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参考文献及鸣谢</w:t>
      </w:r>
    </w:p>
    <w:p w14:paraId="5C655255">
      <w:pPr>
        <w:pStyle w:val="12"/>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EN.REFLIST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 John Stingl, Joanne T. Emerman, Connie J. Eaves, Enzymatic Dissociation and Culture of Normal Human Mammary Tissue to Detect Progenitor Activity, in: C.D. Helgason, C.L. Miller (Eds.), Basic Cell Culture Protocols, Humana Press, Totowa, NJ, 2005, pp. 249-263.</w:t>
      </w:r>
    </w:p>
    <w:p w14:paraId="36147433">
      <w:pPr>
        <w:pStyle w:val="12"/>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Rana Mroue, Mina J. Bissell, Three-Dimensional Cultures of Mouse Mammary Epithelial Cells, in: S.H. Randell, M.L. Fulcher (Eds.), Epithelial Cell Culture Protocols: Second Edition, Humana Press, Totowa, NJ, 2013, pp. 221-250.</w:t>
      </w:r>
    </w:p>
    <w:p w14:paraId="49BAA2E4">
      <w:pPr>
        <w:pStyle w:val="12"/>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J. Y. Kim, J. H. Lee, W. Sun, Isolation and Culture of Adult Neural Stem Cells from the Mouse Subcallosal Zone, Journal of visualized experiments : JoVE (118) (2016).</w:t>
      </w:r>
    </w:p>
    <w:p w14:paraId="1807E0EB">
      <w:pPr>
        <w:pStyle w:val="12"/>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J. J. Cassiman, M. Brugmans, H. Van den Berghe, Growth and surface properties of dispase dissociated human fibroblasts, Cell Biology International Reports 5(2) (1981) 125-132.</w:t>
      </w:r>
    </w:p>
    <w:p w14:paraId="014C53EB">
      <w:pPr>
        <w:pStyle w:val="12"/>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Manman Gao, Peng Guo, Xizhe Liu, et al., Systematic study of single-cell isolation from musculoskeletal tissues for single-sell sequencing, BMC Molecular and Cell Biology 23(1) (2022) 32.</w:t>
      </w:r>
    </w:p>
    <w:p w14:paraId="683C08DA">
      <w:pPr>
        <w:pStyle w:val="12"/>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M. Wang, H. Yu, T. Zhang, et al., In-Depth Comparison of Matrigel Dissolving Methods on Proteomic Profiling of Organoids, Molecular &amp; cellular proteomics : MCP 21(1) (2022) 100181.</w:t>
      </w:r>
    </w:p>
    <w:p w14:paraId="622C9306">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0B0647"/>
    <w:multiLevelType w:val="singleLevel"/>
    <w:tmpl w:val="130B0647"/>
    <w:lvl w:ilvl="0" w:tentative="0">
      <w:start w:val="1"/>
      <w:numFmt w:val="chineseCounting"/>
      <w:suff w:val="nothing"/>
      <w:lvlText w:val="%1、"/>
      <w:lvlJc w:val="left"/>
      <w:rPr>
        <w:rFonts w:hint="eastAsia"/>
      </w:rPr>
    </w:lvl>
  </w:abstractNum>
  <w:abstractNum w:abstractNumId="1">
    <w:nsid w:val="49E42FB7"/>
    <w:multiLevelType w:val="singleLevel"/>
    <w:tmpl w:val="49E42FB7"/>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089&lt;/item&gt;&lt;item&gt;1090&lt;/item&gt;&lt;item&gt;1091&lt;/item&gt;&lt;item&gt;1092&lt;/item&gt;&lt;item&gt;1093&lt;/item&gt;&lt;item&gt;1095&lt;/item&gt;&lt;/record-ids&gt;&lt;/item&gt;&lt;/Libraries&gt;"/>
  </w:docVars>
  <w:rsids>
    <w:rsidRoot w:val="4C472BD4"/>
    <w:rsid w:val="00063ACD"/>
    <w:rsid w:val="00120BE8"/>
    <w:rsid w:val="00234A0D"/>
    <w:rsid w:val="00332C1E"/>
    <w:rsid w:val="00437D31"/>
    <w:rsid w:val="00467778"/>
    <w:rsid w:val="00685DF9"/>
    <w:rsid w:val="008A48EE"/>
    <w:rsid w:val="00A04E3D"/>
    <w:rsid w:val="00A86037"/>
    <w:rsid w:val="00CA06D7"/>
    <w:rsid w:val="00D25C86"/>
    <w:rsid w:val="00D46D24"/>
    <w:rsid w:val="00D56E06"/>
    <w:rsid w:val="00DB5C85"/>
    <w:rsid w:val="00DC4CCE"/>
    <w:rsid w:val="00E24703"/>
    <w:rsid w:val="00F04D25"/>
    <w:rsid w:val="083640B7"/>
    <w:rsid w:val="0E5928AD"/>
    <w:rsid w:val="10830B27"/>
    <w:rsid w:val="134F44BD"/>
    <w:rsid w:val="1D6C762D"/>
    <w:rsid w:val="38753E38"/>
    <w:rsid w:val="4C472BD4"/>
    <w:rsid w:val="6AE32173"/>
    <w:rsid w:val="6EE94A61"/>
    <w:rsid w:val="78FF0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semiHidden/>
    <w:unhideWhenUsed/>
    <w:qFormat/>
    <w:uiPriority w:val="0"/>
    <w:rPr>
      <w:rFonts w:ascii="Arial" w:hAnsi="Arial" w:eastAsia="黑体"/>
      <w:sz w:val="20"/>
    </w:rPr>
  </w:style>
  <w:style w:type="paragraph" w:styleId="6">
    <w:name w:val="Normal (Web)"/>
    <w:basedOn w:val="1"/>
    <w:qFormat/>
    <w:uiPriority w:val="0"/>
    <w:rPr>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2">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2211</Words>
  <Characters>3703</Characters>
  <Lines>196</Lines>
  <Paragraphs>75</Paragraphs>
  <TotalTime>229</TotalTime>
  <ScaleCrop>false</ScaleCrop>
  <LinksUpToDate>false</LinksUpToDate>
  <CharactersWithSpaces>3995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2025-09-16T08:39:00Z</dcterms:created>
  <dc:creator>宋听</dc:creator>
  <cp:lastModifiedBy>Tae</cp:lastModifiedBy>
  <dcterms:modified xsi:type="dcterms:W3CDTF">2025-10-28T09:28:17Z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A511EDAAF13440DCB4DA431FC1421170_13</vt:lpwstr>
  </property>
  <property fmtid="{D5CDD505-2E9C-101B-9397-08002B2CF9AE}" pid="4" name="KSOTemplateDocerSaveRecord">
    <vt:lpwstr>eyJoZGlkIjoiMWJmYmVhMGQ2YWQwOTc0ZDFkYmVkZTE0NzFkNThlYzIiLCJ1c2VySWQiOiIzNjg1MzQ2NjUifQ==</vt:lpwstr>
  </property>
</Properties>
</file>