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C25E75">
      <w:pPr>
        <w:pStyle w:val="2"/>
        <w:bidi w:val="0"/>
        <w:rPr>
          <w:rFonts w:hint="eastAsia" w:ascii="楷体" w:hAnsi="楷体" w:eastAsia="楷体" w:cs="楷体"/>
          <w:sz w:val="44"/>
          <w:szCs w:val="44"/>
        </w:rPr>
      </w:pPr>
      <w:bookmarkStart w:id="0" w:name="_GoBack"/>
      <w:r>
        <w:rPr>
          <w:rFonts w:hint="eastAsia" w:ascii="楷体" w:hAnsi="楷体" w:eastAsia="楷体" w:cs="楷体"/>
          <w:sz w:val="44"/>
          <w:szCs w:val="44"/>
        </w:rPr>
        <w:t>明星靶点IL4R：双重阻断IL-4和IL-13炎症信号通路</w:t>
      </w:r>
    </w:p>
    <w:bookmarkEnd w:id="0"/>
    <w:p w14:paraId="2CCD0470">
      <w:pPr>
        <w:rPr>
          <w:rFonts w:hint="eastAsia" w:ascii="楷体" w:hAnsi="楷体" w:eastAsia="楷体" w:cs="楷体"/>
          <w:sz w:val="28"/>
          <w:szCs w:val="28"/>
        </w:rPr>
      </w:pPr>
    </w:p>
    <w:p w14:paraId="65ABA38D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前  言</w:t>
      </w:r>
    </w:p>
    <w:p w14:paraId="5EA487E9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begin"/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instrText xml:space="preserve"> HYPERLINK "https://cn.sinobiological.com/category/ads/il4r-inflammation" </w:instrTex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separate"/>
      </w:r>
      <w:r>
        <w:rPr>
          <w:rStyle w:val="8"/>
          <w:rFonts w:hint="eastAsia" w:ascii="楷体" w:hAnsi="楷体" w:eastAsia="楷体" w:cs="楷体"/>
          <w:b/>
          <w:bCs/>
          <w:sz w:val="28"/>
          <w:szCs w:val="28"/>
          <w:u w:val="none"/>
        </w:rPr>
        <w:t>IL4R信号通路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end"/>
      </w:r>
      <w:r>
        <w:rPr>
          <w:rFonts w:hint="eastAsia" w:ascii="楷体" w:hAnsi="楷体" w:eastAsia="楷体" w:cs="楷体"/>
          <w:sz w:val="28"/>
          <w:szCs w:val="28"/>
        </w:rPr>
        <w:t>在免疫系统中具有重要作用，介导过敏性和Ⅱ型炎症反应。IL4R在各种肿瘤中表达上调，通过迁移、浸润、存活、增殖等促进肿瘤转移。目前FDA已批准几种靶向IL4R信号通路的药物用于治疗哮喘，但这些药物也被用于肿瘤治疗的开发。《Nature Reviews Drug Discovery》的文章预测2023年全球畅销药Top10，认为IL-4R单抗Dupixent将首次跻身其中。作为可治疗多种自身免疫疾病的靶点，针对IL-4R的研发热度近年来不断升温，是目前开发火热的靶点之一。</w:t>
      </w:r>
    </w:p>
    <w:p w14:paraId="7D80B4F5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01</w:t>
      </w:r>
      <w:r>
        <w:rPr>
          <w:rFonts w:hint="eastAsia" w:ascii="楷体" w:hAnsi="楷体" w:eastAsia="楷体" w:cs="楷体"/>
          <w:lang w:val="en-US" w:eastAsia="zh-CN"/>
        </w:rPr>
        <w:t xml:space="preserve"> </w:t>
      </w:r>
      <w:r>
        <w:rPr>
          <w:rFonts w:hint="eastAsia" w:ascii="楷体" w:hAnsi="楷体" w:eastAsia="楷体" w:cs="楷体"/>
        </w:rPr>
        <w:t>IL4R基础生物学</w:t>
      </w:r>
    </w:p>
    <w:p w14:paraId="78C5D37B"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白介素IL-4属于多效免疫细胞因子，主要由活化的Ⅱ型辅助性T细胞、嗜碱性粒细胞和肥大细胞产生。IL-4参与免疫细胞的存活、发育，调控B细胞发育和成熟，以及Ⅱ型辅助性T细胞的增殖分化。</w:t>
      </w:r>
    </w:p>
    <w:p w14:paraId="5416585A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IL-4与IL4R结合发挥生物学功能。IL4R主要包含2种类型，Ⅰ型受体由IL-4Rα亚基和γc亚基组成，主要位于T细胞和NK细胞表面。Ⅱ型受体由IL-4Rα亚基和IL-13Rα1亚基组成，常见于各种实体瘤表面，如肺癌、肾癌、黑色素瘤、乳腺癌、卵巢癌和结肠癌等。</w:t>
      </w:r>
    </w:p>
    <w:p w14:paraId="64A30E9F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Ⅱ型IL-4R中含有一个IL-13Rα1亚基，虽然IL-4与Ⅱ型IL-4R亲和力大于IL-13，但IL-13也可以与该受体结合，产生生物学效应。IL-13可以与气道上皮细胞表面Ⅱ型IL-4R中的IL-13Rα1亚基结合促使哮喘的发生，除此之外，还参与过敏和特异性皮炎等疾病进程。IL-4对于肿瘤迁移和侵袭有很强的促进作用，同时IL-4在乳腺癌、结肠癌等肿瘤的微环境中上调。同时，由于IL-4R在肿瘤细胞表面的过表达，因此可以将其作为抗肿瘤的靶分子设计药物。</w:t>
      </w:r>
    </w:p>
    <w:p w14:paraId="547655C3"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287010" cy="2290445"/>
            <wp:effectExtent l="0" t="0" r="8890" b="14605"/>
            <wp:docPr id="1" name="图片 1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7010" cy="229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69702">
      <w:pPr>
        <w:jc w:val="center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IL4R信号通路（源自参考文献）</w:t>
      </w:r>
    </w:p>
    <w:p w14:paraId="0F892235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02</w:t>
      </w:r>
      <w:r>
        <w:rPr>
          <w:rFonts w:hint="eastAsia" w:ascii="楷体" w:hAnsi="楷体" w:eastAsia="楷体" w:cs="楷体"/>
          <w:lang w:val="en-US" w:eastAsia="zh-CN"/>
        </w:rPr>
        <w:t xml:space="preserve"> </w:t>
      </w:r>
      <w:r>
        <w:rPr>
          <w:rFonts w:hint="eastAsia" w:ascii="楷体" w:hAnsi="楷体" w:eastAsia="楷体" w:cs="楷体"/>
        </w:rPr>
        <w:t>IL4R信号通路</w:t>
      </w:r>
    </w:p>
    <w:p w14:paraId="3DDF876F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IL-4R自身无激酶活性，其生物学功能主要通过非受体型酪氨酸激酶JAK激活。IL-4R与配体结合后，使蛋白发生磷酸化，激活下游信号通路。研究发现IL-4Rα、γc和IL-13Rα1分别激活JAK1、JAK2和Tyk2。在免疫细胞中，IL4R信号通路会激活2种下游信号：IRS-PI3K-AKT途径和JAK-STAT6途径。STAT6是转录因子，可被JAK进一步磷酸化，促进IL-4和IL-13转录表达。IL-4Rα的表达与乳腺癌肺转移中STAT6、AKT和ERK活化增加有关，说明IL-4R信号通路及其下游蛋白可以作为抑制肿瘤转移的靶点。</w:t>
      </w:r>
    </w:p>
    <w:p w14:paraId="18AF3C52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03</w:t>
      </w:r>
      <w:r>
        <w:rPr>
          <w:rFonts w:hint="eastAsia" w:ascii="楷体" w:hAnsi="楷体" w:eastAsia="楷体" w:cs="楷体"/>
          <w:lang w:val="en-US" w:eastAsia="zh-CN"/>
        </w:rPr>
        <w:t xml:space="preserve"> </w:t>
      </w:r>
      <w:r>
        <w:rPr>
          <w:rFonts w:hint="eastAsia" w:ascii="楷体" w:hAnsi="楷体" w:eastAsia="楷体" w:cs="楷体"/>
        </w:rPr>
        <w:t>IL4R从实验室到临床应用</w:t>
      </w:r>
    </w:p>
    <w:p w14:paraId="63E8B34A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虽然目前已开发靶向IL-4或IL-13的治疗性抗体，但由于它们的信号通路存在重叠，这些抗体可能具有一些局限性。能同时阻断IL-4和IL-13结合以及信号转导的分子具有良好的治疗潜力。L4Rα可被IL-4或IL-13激活，这是一种类似于双特异性靶向作用的创新机制。通过靶向IL4Rα双重阻断IL-4和IL-13可阻断细胞内信号转导，从而抑制Th2细胞分化、IgE合成和炎性物质分泌，进而调节免疫功能。</w:t>
      </w:r>
    </w:p>
    <w:p w14:paraId="45EB04F0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IL4R在免疫系统中具有很重要的调节作用，在恶性肿瘤中促进肿瘤转移。恶性上皮癌细胞中IL4R对细胞迁移和侵袭具有很重要的作用。目前已批准上市的药物会抑制造血细胞上的Ⅰ型受体产生的信号和骨髓细胞上Ⅱ型受体产生的信号，因此设计特异性靶向Ⅱ型IL4R的策略非常有潜力。</w:t>
      </w:r>
    </w:p>
    <w:p w14:paraId="747DF45C">
      <w:pPr>
        <w:rPr>
          <w:rFonts w:hint="eastAsia" w:ascii="楷体" w:hAnsi="楷体" w:eastAsia="楷体" w:cs="楷体"/>
          <w:sz w:val="28"/>
          <w:szCs w:val="28"/>
        </w:rPr>
      </w:pPr>
    </w:p>
    <w:p w14:paraId="709AA78D">
      <w:pPr>
        <w:rPr>
          <w:rStyle w:val="9"/>
          <w:rFonts w:hint="eastAsia" w:ascii="楷体" w:hAnsi="楷体" w:eastAsia="楷体" w:cs="楷体"/>
        </w:rPr>
      </w:pPr>
      <w:r>
        <w:rPr>
          <w:rStyle w:val="9"/>
          <w:rFonts w:hint="eastAsia" w:ascii="楷体" w:hAnsi="楷体" w:eastAsia="楷体" w:cs="楷体"/>
        </w:rPr>
        <w:t>04</w:t>
      </w:r>
      <w:r>
        <w:rPr>
          <w:rStyle w:val="9"/>
          <w:rFonts w:hint="eastAsia" w:ascii="楷体" w:hAnsi="楷体" w:eastAsia="楷体" w:cs="楷体"/>
          <w:lang w:val="en-US" w:eastAsia="zh-CN"/>
        </w:rPr>
        <w:t xml:space="preserve"> </w:t>
      </w:r>
      <w:r>
        <w:rPr>
          <w:rStyle w:val="9"/>
          <w:rFonts w:hint="eastAsia" w:ascii="楷体" w:hAnsi="楷体" w:eastAsia="楷体" w:cs="楷体"/>
        </w:rPr>
        <w:t>IL4R在研究中的应用</w:t>
      </w:r>
    </w:p>
    <w:p w14:paraId="28FA307D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表面等离子体共振 (SPR) 用于实时表征受试分子之间的结合特异性、亲和力和动力学特性。蛋白相互作用/亲和试验广泛用于早期药物研发、药物筛选和发现、临床前和临床研究以及下游生产中的质量控制。</w:t>
      </w:r>
    </w:p>
    <w:p w14:paraId="49AA65DC">
      <w:pPr>
        <w:jc w:val="center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177790" cy="4746625"/>
            <wp:effectExtent l="0" t="0" r="3810" b="15875"/>
            <wp:docPr id="2" name="图片 2" descr="2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7790" cy="474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826B2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SPR测定IL4R（Cat：10402-H08H）的结合动力学特征。使用洗涤器2获得的标准化(A) [AP1-V12]6蛋白(125 nM-1 µM)、(B) AP1肽 (3.125 - 50 µM) 和 (C) [V14]6(1 µM) 的结合曲线（黑线）及拟合曲线（红线）。</w:t>
      </w:r>
    </w:p>
    <w:p w14:paraId="57139999">
      <w:pPr>
        <w:rPr>
          <w:rFonts w:hint="eastAsia" w:ascii="楷体" w:hAnsi="楷体" w:eastAsia="楷体" w:cs="楷体"/>
          <w:sz w:val="24"/>
          <w:szCs w:val="24"/>
        </w:rPr>
      </w:pPr>
    </w:p>
    <w:p w14:paraId="398D23A3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✦义翘神州IL4R特色产品</w:t>
      </w:r>
    </w:p>
    <w:p w14:paraId="575F22B5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义翘神州已开发多种属、多标签的IL-4R重组蛋白以及抗体、ELISA试剂盒、基因产品，支持靶向IL-4R信号通路研究。</w:t>
      </w:r>
    </w:p>
    <w:p w14:paraId="2859429B">
      <w:pPr>
        <w:rPr>
          <w:rFonts w:hint="eastAsia" w:ascii="楷体" w:hAnsi="楷体" w:eastAsia="楷体" w:cs="楷体"/>
          <w:sz w:val="28"/>
          <w:szCs w:val="28"/>
        </w:rPr>
      </w:pPr>
    </w:p>
    <w:p w14:paraId="37162C14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Human IL4R Protein (His Tag) (Cat: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t> 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begin"/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instrText xml:space="preserve"> HYPERLINK "https://cn.sinobiological.com/recombinant-proteins/human-il4r-10402-h08h" </w:instrTex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separate"/>
      </w:r>
      <w:r>
        <w:rPr>
          <w:rStyle w:val="8"/>
          <w:rFonts w:hint="eastAsia" w:ascii="楷体" w:hAnsi="楷体" w:eastAsia="楷体" w:cs="楷体"/>
          <w:b/>
          <w:bCs/>
          <w:sz w:val="28"/>
          <w:szCs w:val="28"/>
          <w:u w:val="none"/>
        </w:rPr>
        <w:t>10402-H08H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fldChar w:fldCharType="end"/>
      </w:r>
      <w:r>
        <w:rPr>
          <w:rFonts w:hint="eastAsia" w:ascii="楷体" w:hAnsi="楷体" w:eastAsia="楷体" w:cs="楷体"/>
          <w:b/>
          <w:bCs/>
          <w:sz w:val="28"/>
          <w:szCs w:val="28"/>
        </w:rPr>
        <w:t>)</w:t>
      </w:r>
    </w:p>
    <w:p w14:paraId="13433026">
      <w:pP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drawing>
          <wp:inline distT="0" distB="0" distL="114300" distR="114300">
            <wp:extent cx="5273040" cy="3981450"/>
            <wp:effectExtent l="0" t="0" r="3810" b="0"/>
            <wp:docPr id="3" name="图片 3" descr="2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-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6EB02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Measured by its ability to inhibit IL-4-induced proliferation of TF-1 human erythroleukemic cells. The ED50 for this effect is typically 5-25 ng/ml in the presence of 0.2 ng/mL of recombinant human IL-4.</w:t>
      </w:r>
    </w:p>
    <w:p w14:paraId="1F65DF6C">
      <w:pPr>
        <w:rPr>
          <w:rFonts w:hint="eastAsia" w:ascii="楷体" w:hAnsi="楷体" w:eastAsia="楷体" w:cs="楷体"/>
          <w:sz w:val="24"/>
          <w:szCs w:val="24"/>
        </w:rPr>
      </w:pPr>
    </w:p>
    <w:p w14:paraId="6D5D2724">
      <w:pPr>
        <w:rPr>
          <w:rFonts w:hint="eastAsia" w:ascii="楷体" w:hAnsi="楷体" w:eastAsia="楷体" w:cs="楷体"/>
          <w:sz w:val="28"/>
          <w:szCs w:val="28"/>
        </w:rPr>
      </w:pPr>
    </w:p>
    <w:p w14:paraId="34D0EB9B">
      <w:pPr>
        <w:pStyle w:val="4"/>
        <w:keepNext w:val="0"/>
        <w:keepLines w:val="0"/>
        <w:widowControl/>
        <w:suppressLineNumbers w:val="0"/>
        <w:rPr>
          <w:rFonts w:hint="eastAsia" w:ascii="楷体" w:hAnsi="楷体" w:eastAsia="楷体" w:cs="楷体"/>
          <w:sz w:val="24"/>
          <w:szCs w:val="24"/>
        </w:rPr>
      </w:pPr>
      <w:r>
        <w:rPr>
          <w:rStyle w:val="7"/>
          <w:rFonts w:hint="eastAsia" w:ascii="楷体" w:hAnsi="楷体" w:eastAsia="楷体" w:cs="楷体"/>
          <w:sz w:val="24"/>
          <w:szCs w:val="24"/>
        </w:rPr>
        <w:t>【参考文献】</w:t>
      </w:r>
    </w:p>
    <w:p w14:paraId="0B2E0898">
      <w:pPr>
        <w:pStyle w:val="4"/>
        <w:keepNext w:val="0"/>
        <w:keepLines w:val="0"/>
        <w:widowControl/>
        <w:suppressLineNumbers w:val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1. McCormick and Heller. Commentary: IL-4 and IL-13 receptors and signaling. Cytokine, 2015. </w:t>
      </w:r>
    </w:p>
    <w:p w14:paraId="4AB29BD1">
      <w:pPr>
        <w:pStyle w:val="4"/>
        <w:keepNext w:val="0"/>
        <w:keepLines w:val="0"/>
        <w:widowControl/>
        <w:suppressLineNumbers w:val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2. Junttila. Tuning the Cytokine Responses: An Update on Interleukin (IL)-4 and IL-13 Receptor Complexes. Frontiers in immunology, 2018.</w:t>
      </w:r>
    </w:p>
    <w:p w14:paraId="67039CBB">
      <w:pPr>
        <w:pStyle w:val="4"/>
        <w:keepNext w:val="0"/>
        <w:keepLines w:val="0"/>
        <w:widowControl/>
        <w:suppressLineNumbers w:val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3. Le Floc'h, A., et al. Dual blockade of IL-4 and IL-13 with dupilumab, an IL-4Rα antibody, is required to broadly inhibit type 2 inflammation. Allergy, 2020.</w:t>
      </w:r>
    </w:p>
    <w:p w14:paraId="7183C3A4">
      <w:pPr>
        <w:pStyle w:val="4"/>
        <w:keepNext w:val="0"/>
        <w:keepLines w:val="0"/>
        <w:widowControl/>
        <w:suppressLineNumbers w:val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4. Bankaitis, and Fingleton. Targeting IL4/IL4R for the treatment of epithelial cancer metastasis. Clinical &amp; experimental metastasis, 2015</w:t>
      </w:r>
    </w:p>
    <w:p w14:paraId="14C2F44C">
      <w:pPr>
        <w:pStyle w:val="4"/>
        <w:keepNext w:val="0"/>
        <w:keepLines w:val="0"/>
        <w:widowControl/>
        <w:suppressLineNumbers w:val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5. Song, X., Traub, B., Shi, J., &amp; Kornmann, M. Possible Roles of Interleukin-4 and -13 and Their Receptors in Gastric and Colon Cancer. International journal of molecular sciences, 2015</w:t>
      </w:r>
    </w:p>
    <w:p w14:paraId="76530AE1">
      <w:pPr>
        <w:pStyle w:val="4"/>
        <w:keepNext w:val="0"/>
        <w:keepLines w:val="0"/>
        <w:widowControl/>
        <w:suppressLineNumbers w:val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6. Gangadaran, et al. Interleukin-4 Receptor Targeting Peptide Decorated Extracellular Vesicles as a Platform for In Vivo Drug Delivery to Thyroid Cancer. Biomedicines, 2022.</w:t>
      </w:r>
    </w:p>
    <w:p w14:paraId="1D912286">
      <w:pPr>
        <w:pStyle w:val="4"/>
        <w:keepNext w:val="0"/>
        <w:keepLines w:val="0"/>
        <w:widowControl/>
        <w:suppressLineNumbers w:val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7. Kim, J. E., et al. Engineering of anti-human interleukin-4 receptor alpha antibodies with potent antagonistic activity. Scientific reports, 2019.</w:t>
      </w:r>
    </w:p>
    <w:p w14:paraId="2E2D4876">
      <w:pPr>
        <w:rPr>
          <w:rFonts w:hint="eastAsia" w:ascii="楷体" w:hAnsi="楷体" w:eastAsia="楷体" w:cs="楷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YTA5Y2Y5Y2I0NzU2ZDExMmM5ZWY5YTU1YWU0MjAifQ=="/>
  </w:docVars>
  <w:rsids>
    <w:rsidRoot w:val="571731A3"/>
    <w:rsid w:val="5717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9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character" w:customStyle="1" w:styleId="9">
    <w:name w:val="标题 2 Char"/>
    <w:link w:val="3"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2024-11-15T02:14:00Z</dcterms:created>
  <dc:creator>忘了天空的颜色</dc:creator>
  <cp:lastModifiedBy>忘了天空的颜色</cp:lastModifiedBy>
  <dcterms:modified xsi:type="dcterms:W3CDTF">2024-11-15T02:28:37Z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2E2F46A86AC5481A9331F4C085BA743C_11</vt:lpwstr>
  </property>
</Properties>
</file>