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OLE_LINK15"/>
      <w:bookmarkStart w:id="4" w:name="_Toc415818939"/>
      <w:bookmarkStart w:id="5" w:name="_Toc415142861"/>
      <w:bookmarkStart w:id="6" w:name="OLE_LINK40"/>
      <w:bookmarkStart w:id="7" w:name="_Toc418070112"/>
      <w:bookmarkStart w:id="8" w:name="_Toc415143481"/>
      <w:bookmarkStart w:id="9" w:name="_Toc481801204"/>
      <w:bookmarkStart w:id="10" w:name="OLE_LINK13"/>
      <w:bookmarkStart w:id="11" w:name="OLE_LINK24"/>
      <w:bookmarkStart w:id="12" w:name="OLE_LINK39"/>
      <w:r>
        <w:rPr>
          <w:lang w:eastAsia="zh-CN"/>
        </w:rPr>
        <w:t>热执行器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据QYResearch调研团队最新报告“全球热执行器市场报告2023-2029”显示，预计2029年全球热执行器市场规模将达到3.1亿美元，未来几年年复合增长率CAGR为6.5%。</w:t>
      </w:r>
    </w:p>
    <w:p>
      <w:pPr>
        <w:pStyle w:val="145"/>
        <w:rPr>
          <w:b/>
          <w:lang w:eastAsia="zh-CN"/>
        </w:rPr>
      </w:pPr>
      <w:r>
        <w:rPr>
          <w:rFonts w:hint="eastAsia"/>
          <w:b/>
          <w:lang w:eastAsia="zh-CN"/>
        </w:rPr>
        <w:t>产品定义及统计范围：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热执行器是一种将热能转换为机械运动的执行器。 它旨在通过膨胀或收缩来响应温度变化，从而导致位移或力的产生。 热执行器可用于各种应用，包括阀门、HVAC 系统、电子电路、机器人和汽车系统。</w:t>
      </w:r>
    </w:p>
    <w:p>
      <w:pPr>
        <w:pStyle w:val="148"/>
      </w:pPr>
      <w:r>
        <w:rPr>
          <w:rFonts w:hint="eastAsia"/>
        </w:rPr>
        <w:t>热执行器</w:t>
      </w:r>
      <w:r>
        <w:rPr>
          <w:rFonts w:hint="eastAsia"/>
          <w:lang w:eastAsia="zh-CN"/>
        </w:rPr>
        <w:t>，</w:t>
      </w:r>
      <w:r>
        <w:rPr>
          <w:rFonts w:hint="eastAsia"/>
        </w:rPr>
        <w:t>产品图片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2714625" cy="2591435"/>
            <wp:effectExtent l="0" t="0" r="0" b="0"/>
            <wp:docPr id="1" name="图片 1" descr="蜡马达/热动执行器_思微自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蜡马达/热动执行器_思微自控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9841" cy="2596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8"/>
        <w:rPr>
          <w:lang w:eastAsia="zh-CN"/>
        </w:rPr>
      </w:pPr>
      <w:r>
        <w:rPr>
          <w:lang w:eastAsia="zh-CN"/>
        </w:rPr>
        <w:t>热执行器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936875"/>
            <wp:effectExtent l="0" t="0" r="254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热执行器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自动化需求不断增长：制造业、汽车和消费电子等行业对自动化的需求不断增长。 热执行器根据温度变化提供精确且受控的运动，在自动化系统中发挥着至关重要的作用。 随着对自动化流程的需求不断增加，对热执行器的需求预计也会增加。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成本：热执行器，特别是那些使用先进材料和技术的热执行器，可能比其他执行器选项更昂贵。 较高的成本可能会限制其采用，特别是在价格敏感的行业或成本效益是关键因素的应用中。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微流控：热执行器可用于微流控装置中流体流动的精确控制。 这对于生物医学研究、芯片实验室系统和化学分析等领域至关重要。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热执行器</w:t>
      </w:r>
      <w:r>
        <w:rPr>
          <w:rFonts w:hint="eastAsia"/>
          <w:lang w:eastAsia="zh-CN"/>
        </w:rPr>
        <w:t>市场前10强生产商排名及市场占有率（持续更新）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4572000" cy="4399915"/>
            <wp:effectExtent l="0" t="0" r="0" b="63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热执行器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</w:rPr>
        <w:t>根据QYResearch头部企业研究中心调研，全球范围内热执行器生产商主要包括丹佛斯、霍尼韦尔、曼瑞德、欧博诺、卡莱菲、施耐德电气、嘉科米尼、SAUTER、沃茨、IMI Hydronic Engineering等。2022年，全球前十强厂商占有大约56.0%的市场份额。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热执行器</w:t>
      </w:r>
      <w:r>
        <w:rPr>
          <w:rFonts w:hint="eastAsia"/>
          <w:lang w:eastAsia="zh-CN"/>
        </w:rPr>
        <w:t>，全球市场规模，按产品类型细分，常开型处于主导地位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5238750" cy="2414905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0672" cy="24160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4963795" cy="2019300"/>
            <wp:effectExtent l="0" t="0" r="8255" b="0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热执行器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就产品类型而言，目前常开型是最主要的细分产品，占据大约</w:t>
      </w:r>
      <w:r>
        <w:rPr>
          <w:lang w:eastAsia="zh-CN"/>
        </w:rPr>
        <w:t>82.5</w:t>
      </w:r>
      <w:r>
        <w:rPr>
          <w:rFonts w:hint="eastAsia"/>
          <w:lang w:eastAsia="zh-CN"/>
        </w:rPr>
        <w:t>%的份额。</w:t>
      </w:r>
    </w:p>
    <w:p>
      <w:pPr>
        <w:pStyle w:val="148"/>
        <w:rPr>
          <w:lang w:eastAsia="zh-CN"/>
        </w:rPr>
      </w:pPr>
      <w:r>
        <w:rPr>
          <w:lang w:eastAsia="zh-CN"/>
        </w:rPr>
        <w:t>热执行器</w:t>
      </w:r>
      <w:r>
        <w:rPr>
          <w:rFonts w:hint="eastAsia"/>
          <w:lang w:eastAsia="zh-CN"/>
        </w:rPr>
        <w:t>，全球市场规模，按应用细分，家用是最大的下游市场，占有</w:t>
      </w:r>
      <w:r>
        <w:rPr>
          <w:lang w:eastAsia="zh-CN"/>
        </w:rPr>
        <w:t>57.7%</w:t>
      </w:r>
      <w:r>
        <w:rPr>
          <w:rFonts w:hint="eastAsia"/>
          <w:lang w:eastAsia="zh-CN"/>
        </w:rPr>
        <w:t>份额。</w:t>
      </w:r>
    </w:p>
    <w:p>
      <w:pPr>
        <w:pStyle w:val="145"/>
        <w:rPr>
          <w:lang w:eastAsia="zh-CN"/>
        </w:rPr>
      </w:pP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5534025" cy="2550795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2881" cy="25553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</w:pPr>
      <w:r>
        <w:drawing>
          <wp:inline distT="0" distB="0" distL="0" distR="0">
            <wp:extent cx="5476875" cy="2276475"/>
            <wp:effectExtent l="0" t="0" r="0" b="0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热执行器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就产品应用而言，目前家用是最主要的需求来源，占据大约</w:t>
      </w:r>
      <w:r>
        <w:rPr>
          <w:lang w:eastAsia="zh-CN"/>
        </w:rPr>
        <w:t>5</w:t>
      </w:r>
      <w:r>
        <w:rPr>
          <w:rFonts w:hint="eastAsia"/>
          <w:lang w:eastAsia="zh-CN"/>
        </w:rPr>
        <w:t>7.7%的份额。</w:t>
      </w:r>
      <w:bookmarkStart w:id="19" w:name="_GoBack"/>
      <w:bookmarkEnd w:id="19"/>
      <w:r>
        <w:rPr>
          <w:lang w:eastAsia="zh-CN"/>
        </w:rPr>
        <w:br w:type="page"/>
      </w:r>
    </w:p>
    <w:p>
      <w:pPr>
        <w:pStyle w:val="143"/>
        <w:rPr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</w:pPr>
      <w:r>
        <w:rPr>
          <w:rFonts w:hint="eastAsia"/>
          <w:lang w:eastAsia="zh-CN"/>
        </w:rPr>
        <w:t>本文作者</w:t>
      </w:r>
    </w:p>
    <w:p>
      <w:pPr>
        <w:widowControl/>
        <w:topLinePunct w:val="0"/>
        <w:spacing w:before="320" w:after="80" w:line="256" w:lineRule="auto"/>
        <w:rPr>
          <w:rFonts w:cs="Times New Roman"/>
          <w:color w:val="0C0C0C"/>
          <w:kern w:val="0"/>
        </w:rPr>
      </w:pPr>
      <w:r>
        <w:rPr>
          <w:rFonts w:hint="eastAsia" w:ascii="宋体" w:hAnsi="宋体" w:cs="Times New Roman"/>
          <w:color w:val="0C0C0C"/>
          <w:kern w:val="0"/>
        </w:rPr>
        <w:t>蔡东</w:t>
      </w:r>
    </w:p>
    <w:p>
      <w:pPr>
        <w:keepNext/>
        <w:widowControl/>
        <w:pBdr>
          <w:bottom w:val="single" w:color="auto" w:sz="4" w:space="6"/>
        </w:pBdr>
        <w:topLinePunct w:val="0"/>
        <w:spacing w:before="100" w:beforeAutospacing="1" w:after="120"/>
        <w:jc w:val="left"/>
        <w:rPr>
          <w:rFonts w:cs="Calibri"/>
          <w:b/>
          <w:color w:val="FF8200"/>
          <w:spacing w:val="-3"/>
          <w:kern w:val="0"/>
          <w:sz w:val="24"/>
          <w:szCs w:val="24"/>
        </w:rPr>
      </w:pPr>
      <w:r>
        <w:rPr>
          <w:rFonts w:cs="Calibri"/>
          <w:b/>
          <w:color w:val="FF8200"/>
          <w:spacing w:val="-3"/>
          <w:kern w:val="0"/>
          <w:sz w:val="24"/>
          <w:szCs w:val="24"/>
        </w:rPr>
        <w:t>QYResearch</w:t>
      </w:r>
      <w:r>
        <w:rPr>
          <w:rFonts w:hint="eastAsia" w:ascii="宋体" w:hAnsi="宋体" w:cs="Calibri"/>
          <w:b/>
          <w:color w:val="FF8200"/>
          <w:spacing w:val="-3"/>
          <w:kern w:val="0"/>
          <w:sz w:val="24"/>
          <w:szCs w:val="24"/>
        </w:rPr>
        <w:t>企业简介</w:t>
      </w:r>
    </w:p>
    <w:p>
      <w:pPr>
        <w:widowControl/>
        <w:topLinePunct w:val="0"/>
        <w:spacing w:before="320" w:after="80" w:line="256" w:lineRule="auto"/>
        <w:rPr>
          <w:rFonts w:cs="Times New Roman"/>
          <w:color w:val="0C0C0C"/>
          <w:kern w:val="0"/>
        </w:rPr>
      </w:pPr>
      <w:r>
        <w:rPr>
          <w:rFonts w:hint="eastAsia" w:cs="Tahoma"/>
          <w:color w:val="0C0C0C"/>
          <w:kern w:val="0"/>
        </w:rPr>
        <w:t>QYResearch(</w:t>
      </w:r>
      <w:r>
        <w:rPr>
          <w:rFonts w:hint="eastAsia" w:ascii="宋体" w:hAnsi="宋体" w:cs="Times New Roman"/>
          <w:color w:val="0C0C0C"/>
          <w:kern w:val="0"/>
        </w:rPr>
        <w:t>北京恒州博智国际信息咨询有限公司</w:t>
      </w:r>
      <w:r>
        <w:rPr>
          <w:rFonts w:hint="eastAsia" w:cs="Tahoma"/>
          <w:color w:val="0C0C0C"/>
          <w:kern w:val="0"/>
        </w:rPr>
        <w:t>)</w:t>
      </w:r>
      <w:r>
        <w:rPr>
          <w:rFonts w:hint="eastAsia" w:ascii="宋体" w:hAnsi="宋体" w:cs="Times New Roman"/>
          <w:color w:val="0C0C0C"/>
          <w:kern w:val="0"/>
        </w:rPr>
        <w:t>成立于</w:t>
      </w:r>
      <w:r>
        <w:rPr>
          <w:rFonts w:hint="eastAsia" w:cs="Tahoma"/>
          <w:color w:val="0C0C0C"/>
          <w:kern w:val="0"/>
        </w:rPr>
        <w:t>2007</w:t>
      </w:r>
      <w:r>
        <w:rPr>
          <w:rFonts w:hint="eastAsia" w:ascii="宋体" w:hAnsi="宋体" w:cs="Times New Roman"/>
          <w:color w:val="0C0C0C"/>
          <w:kern w:val="0"/>
        </w:rPr>
        <w:t>年，总部位于美国洛杉矶和中国北京。经过连续</w:t>
      </w:r>
      <w:r>
        <w:rPr>
          <w:rFonts w:hint="eastAsia" w:cs="Tahoma"/>
          <w:color w:val="0C0C0C"/>
          <w:kern w:val="0"/>
        </w:rPr>
        <w:t>16</w:t>
      </w:r>
      <w:r>
        <w:rPr>
          <w:rFonts w:hint="eastAsia" w:ascii="宋体" w:hAnsi="宋体" w:cs="Times New Roman"/>
          <w:color w:val="0C0C0C"/>
          <w:kern w:val="0"/>
        </w:rPr>
        <w:t>年多的沉淀，</w:t>
      </w:r>
      <w:r>
        <w:rPr>
          <w:rFonts w:hint="eastAsia" w:cs="Tahoma"/>
          <w:color w:val="0C0C0C"/>
          <w:kern w:val="0"/>
        </w:rPr>
        <w:t>QYResearch</w:t>
      </w:r>
      <w:r>
        <w:rPr>
          <w:rFonts w:hint="eastAsia" w:ascii="宋体" w:hAnsi="宋体" w:cs="Times New Roman"/>
          <w:color w:val="0C0C0C"/>
          <w:kern w:val="0"/>
        </w:rPr>
        <w:t>已成长为全球知名的、面向全球客户提供细分行业调研服务的领先咨询机构；业务遍及世界</w:t>
      </w:r>
      <w:r>
        <w:rPr>
          <w:rFonts w:hint="eastAsia" w:cs="Tahoma"/>
          <w:color w:val="0C0C0C"/>
          <w:kern w:val="0"/>
        </w:rPr>
        <w:t>160</w:t>
      </w:r>
      <w:r>
        <w:rPr>
          <w:rFonts w:hint="eastAsia" w:ascii="宋体" w:hAnsi="宋体" w:cs="Times New Roman"/>
          <w:color w:val="0C0C0C"/>
          <w:kern w:val="0"/>
        </w:rPr>
        <w:t>多个国家，在全球</w:t>
      </w:r>
      <w:r>
        <w:rPr>
          <w:rFonts w:hint="eastAsia" w:cs="Tahoma"/>
          <w:color w:val="0C0C0C"/>
          <w:kern w:val="0"/>
        </w:rPr>
        <w:t>30</w:t>
      </w:r>
      <w:r>
        <w:rPr>
          <w:rFonts w:hint="eastAsia" w:ascii="宋体" w:hAnsi="宋体" w:cs="Times New Roman"/>
          <w:color w:val="0C0C0C"/>
          <w:kern w:val="0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widowControl/>
        <w:topLinePunct w:val="0"/>
        <w:spacing w:before="320" w:after="80" w:line="256" w:lineRule="auto"/>
        <w:rPr>
          <w:rFonts w:cs="Times New Roman"/>
          <w:color w:val="0C0C0C"/>
          <w:kern w:val="0"/>
        </w:rPr>
      </w:pPr>
      <w:r>
        <w:rPr>
          <w:rFonts w:hint="eastAsia" w:cs="Tahoma"/>
          <w:color w:val="0C0C0C"/>
          <w:kern w:val="0"/>
        </w:rPr>
        <w:t>QYResearch</w:t>
      </w:r>
      <w:r>
        <w:rPr>
          <w:rFonts w:hint="eastAsia" w:ascii="宋体" w:hAnsi="宋体" w:cs="Times New Roman"/>
          <w:color w:val="0C0C0C"/>
          <w:kern w:val="0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</w:t>
      </w:r>
      <w:r>
        <w:rPr>
          <w:rFonts w:hint="eastAsia" w:cs="Tahoma"/>
          <w:color w:val="0C0C0C"/>
          <w:kern w:val="0"/>
        </w:rPr>
        <w:t>/</w:t>
      </w:r>
      <w:r>
        <w:rPr>
          <w:rFonts w:hint="eastAsia" w:ascii="宋体" w:hAnsi="宋体" w:cs="Times New Roman"/>
          <w:color w:val="0C0C0C"/>
          <w:kern w:val="0"/>
        </w:rPr>
        <w:t>硅片、电池片、组件、辅料支架、逆变器、电站终端）、新能源汽车产业链（动力电池及材料、电驱电控、汽车半导体</w:t>
      </w:r>
      <w:r>
        <w:rPr>
          <w:rFonts w:hint="eastAsia" w:cs="Tahoma"/>
          <w:color w:val="0C0C0C"/>
          <w:kern w:val="0"/>
        </w:rPr>
        <w:t>/</w:t>
      </w:r>
      <w:r>
        <w:rPr>
          <w:rFonts w:hint="eastAsia" w:ascii="宋体" w:hAnsi="宋体" w:cs="Times New Roman"/>
          <w:color w:val="0C0C0C"/>
          <w:kern w:val="0"/>
        </w:rPr>
        <w:t>电子、整车、充电桩）、通信产业链（通信系统设备、终端设备、电子元器件、射频前端、光模块、</w:t>
      </w:r>
      <w:r>
        <w:rPr>
          <w:rFonts w:hint="eastAsia" w:cs="Tahoma"/>
          <w:color w:val="0C0C0C"/>
          <w:kern w:val="0"/>
        </w:rPr>
        <w:t>4G/5G/6G</w:t>
      </w:r>
      <w:r>
        <w:rPr>
          <w:rFonts w:hint="eastAsia" w:ascii="宋体" w:hAnsi="宋体" w:cs="Times New Roman"/>
          <w:color w:val="0C0C0C"/>
          <w:kern w:val="0"/>
        </w:rPr>
        <w:t>、宽带、</w:t>
      </w:r>
      <w:r>
        <w:rPr>
          <w:rFonts w:hint="eastAsia" w:cs="Tahoma"/>
          <w:color w:val="0C0C0C"/>
          <w:kern w:val="0"/>
        </w:rPr>
        <w:t>IoT</w:t>
      </w:r>
      <w:r>
        <w:rPr>
          <w:rFonts w:hint="eastAsia" w:ascii="宋体" w:hAnsi="宋体" w:cs="Times New Roman"/>
          <w:color w:val="0C0C0C"/>
          <w:kern w:val="0"/>
        </w:rPr>
        <w:t>、数字经济、</w:t>
      </w:r>
      <w:r>
        <w:rPr>
          <w:rFonts w:hint="eastAsia" w:cs="Tahoma"/>
          <w:color w:val="0C0C0C"/>
          <w:kern w:val="0"/>
        </w:rPr>
        <w:t>AI</w:t>
      </w:r>
      <w:r>
        <w:rPr>
          <w:rFonts w:hint="eastAsia" w:ascii="宋体" w:hAnsi="宋体" w:cs="Times New Roman"/>
          <w:color w:val="0C0C0C"/>
          <w:kern w:val="0"/>
        </w:rPr>
        <w:t>）、先进材料产业链（金属材料、高分子材料、陶瓷材料、纳米材料等）、机械制造产业链（数控机床、工程机械、电气机械、</w:t>
      </w:r>
      <w:r>
        <w:rPr>
          <w:rFonts w:hint="eastAsia" w:cs="Tahoma"/>
          <w:color w:val="0C0C0C"/>
          <w:kern w:val="0"/>
        </w:rPr>
        <w:t>3C</w:t>
      </w:r>
      <w:r>
        <w:rPr>
          <w:rFonts w:hint="eastAsia" w:ascii="宋体" w:hAnsi="宋体" w:cs="Times New Roman"/>
          <w:color w:val="0C0C0C"/>
          <w:kern w:val="0"/>
        </w:rPr>
        <w:t>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bookmarkStart w:id="13" w:name="_Hlk149300687"/>
    <w:bookmarkStart w:id="14" w:name="_Hlk149300688"/>
    <w:bookmarkStart w:id="15" w:name="_Hlk149300689"/>
    <w:bookmarkStart w:id="16" w:name="_Hlk149300691"/>
    <w:bookmarkStart w:id="17" w:name="_Hlk149300690"/>
    <w:bookmarkStart w:id="18" w:name="_Hlk149300692"/>
    <w:r>
      <w:t xml:space="preserve">Copyright © QYResearch | market@qyresearch.com | </w:t>
    </w:r>
    <w:bookmarkEnd w:id="13"/>
    <w:bookmarkEnd w:id="14"/>
    <w:bookmarkEnd w:id="15"/>
    <w:bookmarkEnd w:id="16"/>
    <w:bookmarkEnd w:id="17"/>
    <w:bookmarkEnd w:id="18"/>
    <w:r>
      <w:t>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6CE1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632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C2A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11A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701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2DE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622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6D0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CDD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411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4D5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861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1B2827A1"/>
    <w:rsid w:val="79ED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标题1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修订1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清单表 2 - 着色 41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清单表 1 浅色 - 着色 1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清单表 2 - 着色 21"/>
    <w:basedOn w:val="34"/>
    <w:autoRedefine/>
    <w:qFormat/>
    <w:uiPriority w:val="47"/>
    <w:rPr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sz w:val="22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网格表 21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网格表 2 - 着色 41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网格表 2 - 着色 51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清单表 2 - 着色 51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清单表 1 浅色 - 着色 51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chart" Target="charts/chart4.xml"/><Relationship Id="rId14" Type="http://schemas.openxmlformats.org/officeDocument/2006/relationships/image" Target="media/image5.png"/><Relationship Id="rId13" Type="http://schemas.openxmlformats.org/officeDocument/2006/relationships/chart" Target="charts/chart3.xml"/><Relationship Id="rId12" Type="http://schemas.openxmlformats.org/officeDocument/2006/relationships/image" Target="media/image4.png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package" Target="../embeddings/Workbook3.xlsx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package" Target="../embeddings/Workbook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全球市场规模</a:t>
            </a:r>
            <a:r>
              <a:rPr lang="en-US" altLang="zh-CN" sz="1100">
                <a:latin typeface="Book Antiqua" panose="02040602050305030304" pitchFamily="1" charset="0"/>
              </a:rPr>
              <a:t> ($ </a:t>
            </a:r>
            <a:r>
              <a:rPr lang="zh-CN" altLang="en-US" sz="1100">
                <a:latin typeface="Book Antiqua" panose="02040602050305030304" pitchFamily="1" charset="0"/>
              </a:rPr>
              <a:t>百万</a:t>
            </a:r>
            <a:r>
              <a:rPr lang="en-US" altLang="zh-CN" sz="1100">
                <a:latin typeface="Book Antiqua" panose="02040602050305030304" pitchFamily="1" charset="0"/>
              </a:rPr>
              <a:t>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153.17</c:v>
                </c:pt>
                <c:pt idx="1">
                  <c:v>187.56</c:v>
                </c:pt>
                <c:pt idx="2">
                  <c:v>313.4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企业排序!$F$2:$F$19</c:f>
              <c:strCache>
                <c:ptCount val="18"/>
                <c:pt idx="0">
                  <c:v>Danfoss</c:v>
                </c:pt>
                <c:pt idx="1">
                  <c:v>Honeywell</c:v>
                </c:pt>
                <c:pt idx="2">
                  <c:v>manred</c:v>
                </c:pt>
                <c:pt idx="3">
                  <c:v>Uponor</c:v>
                </c:pt>
                <c:pt idx="4">
                  <c:v>kalefi</c:v>
                </c:pt>
                <c:pt idx="5">
                  <c:v>Schneider Electric</c:v>
                </c:pt>
                <c:pt idx="6">
                  <c:v>Giacomini</c:v>
                </c:pt>
                <c:pt idx="7">
                  <c:v>SAUTER</c:v>
                </c:pt>
                <c:pt idx="8">
                  <c:v>Watts</c:v>
                </c:pt>
                <c:pt idx="9">
                  <c:v>IMI Hydronic Engineering</c:v>
                </c:pt>
                <c:pt idx="10">
                  <c:v>Hailin Automatic Control</c:v>
                </c:pt>
                <c:pt idx="11">
                  <c:v>CONTROLLI</c:v>
                </c:pt>
                <c:pt idx="12">
                  <c:v>Heatmiser</c:v>
                </c:pt>
                <c:pt idx="13">
                  <c:v>EPH Controls</c:v>
                </c:pt>
                <c:pt idx="14">
                  <c:v>SALUS Controls</c:v>
                </c:pt>
                <c:pt idx="15">
                  <c:v>SASWELL</c:v>
                </c:pt>
                <c:pt idx="16">
                  <c:v>Beok</c:v>
                </c:pt>
                <c:pt idx="17">
                  <c:v>Grenton</c:v>
                </c:pt>
              </c:strCache>
            </c:strRef>
          </c:cat>
          <c:val>
            <c:numRef>
              <c:f>企业排序!$G$2:$G$19</c:f>
              <c:numCache>
                <c:formatCode>#,##0.00_ </c:formatCode>
                <c:ptCount val="18"/>
                <c:pt idx="0">
                  <c:v>0.99</c:v>
                </c:pt>
                <c:pt idx="1">
                  <c:v>1.34</c:v>
                </c:pt>
                <c:pt idx="2">
                  <c:v>2.93</c:v>
                </c:pt>
                <c:pt idx="3">
                  <c:v>3</c:v>
                </c:pt>
                <c:pt idx="4">
                  <c:v>3.09</c:v>
                </c:pt>
                <c:pt idx="5">
                  <c:v>3.46</c:v>
                </c:pt>
                <c:pt idx="6">
                  <c:v>4.19</c:v>
                </c:pt>
                <c:pt idx="7">
                  <c:v>5.83</c:v>
                </c:pt>
                <c:pt idx="8">
                  <c:v>6.05</c:v>
                </c:pt>
                <c:pt idx="9">
                  <c:v>6.19</c:v>
                </c:pt>
                <c:pt idx="10">
                  <c:v>8.54</c:v>
                </c:pt>
                <c:pt idx="11">
                  <c:v>9.01</c:v>
                </c:pt>
                <c:pt idx="12">
                  <c:v>9.98</c:v>
                </c:pt>
                <c:pt idx="13">
                  <c:v>10.16</c:v>
                </c:pt>
                <c:pt idx="14">
                  <c:v>10.36</c:v>
                </c:pt>
                <c:pt idx="15">
                  <c:v>10.52</c:v>
                </c:pt>
                <c:pt idx="16">
                  <c:v>19.59</c:v>
                </c:pt>
                <c:pt idx="17">
                  <c:v>20.48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299878086419753"/>
          <c:y val="0.0211666666666667"/>
          <c:w val="0.936207098765432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分类!$A$2</c:f>
              <c:strCache>
                <c:ptCount val="1"/>
                <c:pt idx="0">
                  <c:v>常闭型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分类!$B$2:$M$2</c:f>
              <c:numCache>
                <c:formatCode>General</c:formatCode>
                <c:ptCount val="12"/>
                <c:pt idx="1" c:formatCode="#,##0">
                  <c:v>68.61</c:v>
                </c:pt>
                <c:pt idx="2" c:formatCode="#,##0">
                  <c:v>75.1</c:v>
                </c:pt>
                <c:pt idx="3" c:formatCode="#,##0">
                  <c:v>71.41</c:v>
                </c:pt>
                <c:pt idx="4" c:formatCode="#,##0">
                  <c:v>82.32</c:v>
                </c:pt>
                <c:pt idx="5" c:formatCode="#,##0">
                  <c:v>81.97</c:v>
                </c:pt>
                <c:pt idx="6" c:formatCode="#,##0">
                  <c:v>103.2</c:v>
                </c:pt>
                <c:pt idx="7" c:formatCode="#,##0">
                  <c:v>114.1</c:v>
                </c:pt>
                <c:pt idx="8" c:formatCode="#,##0">
                  <c:v>123.09</c:v>
                </c:pt>
                <c:pt idx="9" c:formatCode="#,##0">
                  <c:v>123.45</c:v>
                </c:pt>
                <c:pt idx="10" c:formatCode="#,##0">
                  <c:v>147.87</c:v>
                </c:pt>
                <c:pt idx="11" c:formatCode="#,##0">
                  <c:v>160.21</c:v>
                </c:pt>
              </c:numCache>
            </c:numRef>
          </c:val>
        </c:ser>
        <c:ser>
          <c:idx val="1"/>
          <c:order val="1"/>
          <c:tx>
            <c:strRef>
              <c:f>分类!$A$3</c:f>
              <c:strCache>
                <c:ptCount val="1"/>
                <c:pt idx="0">
                  <c:v>常开型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分类!$B$3:$M$3</c:f>
              <c:numCache>
                <c:formatCode>General</c:formatCode>
                <c:ptCount val="12"/>
                <c:pt idx="1" c:formatCode="#,##0">
                  <c:v>281.75</c:v>
                </c:pt>
                <c:pt idx="2" c:formatCode="#,##0">
                  <c:v>319.53</c:v>
                </c:pt>
                <c:pt idx="3" c:formatCode="#,##0">
                  <c:v>322.14</c:v>
                </c:pt>
                <c:pt idx="4" c:formatCode="#,##0">
                  <c:v>363.61</c:v>
                </c:pt>
                <c:pt idx="5" c:formatCode="#,##0">
                  <c:v>408.89</c:v>
                </c:pt>
                <c:pt idx="6" c:formatCode="#,##0">
                  <c:v>440.76</c:v>
                </c:pt>
                <c:pt idx="7" c:formatCode="#,##0">
                  <c:v>504.84</c:v>
                </c:pt>
                <c:pt idx="8" c:formatCode="#,##0">
                  <c:v>546.83</c:v>
                </c:pt>
                <c:pt idx="9" c:formatCode="#,##0">
                  <c:v>604.57</c:v>
                </c:pt>
                <c:pt idx="10" c:formatCode="#,##0">
                  <c:v>671.45</c:v>
                </c:pt>
                <c:pt idx="11" c:formatCode="#,##0">
                  <c:v>750.36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  <c:extLst>
          <c:ext xmlns:c15="http://schemas.microsoft.com/office/drawing/2012/chart" uri="{02D57815-91ED-43cb-92C2-25804820EDAC}">
            <c15:filteredBarSeries>
              <c15:ser>
                <c:idx val="2"/>
                <c:order val="2"/>
                <c:tx>
                  <c:strRef>
                    <c:extLst>
                      <c:ext uri="{02D57815-91ED-43cb-92C2-25804820EDAC}">
                        <c15:formulaRef>
                          <c15:sqref>分类!$A$4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accent6">
                      <a:lumMod val="75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分类!$B$1:$M$1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分类!$B$4:$M$4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3"/>
                <c:order val="3"/>
                <c:tx>
                  <c:strRef>
                    <c:extLst>
                      <c:ext uri="{02D57815-91ED-43cb-92C2-25804820EDAC}">
                        <c15:formulaRef>
                          <c15:sqref>分类!$A$5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tx2">
                      <a:lumMod val="60000"/>
                      <a:lumOff val="4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分类!$B$1:$M$1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分类!$B$5:$M$5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4"/>
                <c:order val="4"/>
                <c:tx>
                  <c:strRef>
                    <c:extLst>
                      <c:ext uri="{02D57815-91ED-43cb-92C2-25804820EDAC}">
                        <c15:formulaRef>
                          <c15:sqref>分类!$A$6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accent1">
                      <a:lumMod val="75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分类!$B$1:$M$1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分类!$B$6:$M$6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5"/>
                <c:order val="5"/>
                <c:tx>
                  <c:strRef>
                    <c:extLst>
                      <c:ext uri="{02D57815-91ED-43cb-92C2-25804820EDAC}">
                        <c15:formulaRef>
                          <c15:sqref>分类!$A$7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accent4">
                      <a:lumMod val="60000"/>
                      <a:lumOff val="4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分类!$B$1:$M$1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分类!$B$7:$M$7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6"/>
                <c:order val="6"/>
                <c:tx>
                  <c:strRef>
                    <c:extLst>
                      <c:ext uri="{02D57815-91ED-43cb-92C2-25804820EDAC}">
                        <c15:formulaRef>
                          <c15:sqref>分类!$A$8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accent2">
                      <a:lumMod val="60000"/>
                      <a:lumOff val="4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分类!$B$1:$M$1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分类!$B$8:$M$8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7"/>
                <c:order val="7"/>
                <c:tx>
                  <c:strRef>
                    <c:extLst>
                      <c:ext uri="{02D57815-91ED-43cb-92C2-25804820EDAC}">
                        <c15:formulaRef>
                          <c15:sqref>分类!$A$9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bg2">
                      <a:lumMod val="5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分类!$B$1:$M$1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分类!$B$9:$M$9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8"/>
                <c:order val="8"/>
                <c:tx>
                  <c:strRef>
                    <c:extLst>
                      <c:ext uri="{02D57815-91ED-43cb-92C2-25804820EDAC}">
                        <c15:formulaRef>
                          <c15:sqref>分类!$A$10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accent5">
                      <a:lumMod val="60000"/>
                      <a:lumOff val="4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分类!$B$1:$M$1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分类!$B$10:$M$10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</c:ext>
        </c:extLst>
      </c:barChart>
      <c:lineChart>
        <c:grouping val="stacked"/>
        <c:varyColors val="0"/>
        <c:ser>
          <c:idx val="9"/>
          <c:order val="9"/>
          <c:tx>
            <c:strRef>
              <c:f>分类!$A$11</c:f>
              <c:strCache>
                <c:ptCount val="1"/>
                <c:pt idx="0">
                  <c:v>总计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分类!$B$11:$M$11</c:f>
              <c:numCache>
                <c:formatCode>#,##0_);[Red]\(#,##0\)</c:formatCode>
                <c:ptCount val="12"/>
                <c:pt idx="0">
                  <c:v>0</c:v>
                </c:pt>
                <c:pt idx="1">
                  <c:v>350.36</c:v>
                </c:pt>
                <c:pt idx="2">
                  <c:v>394.63</c:v>
                </c:pt>
                <c:pt idx="3">
                  <c:v>393.55</c:v>
                </c:pt>
                <c:pt idx="4">
                  <c:v>445.93</c:v>
                </c:pt>
                <c:pt idx="5">
                  <c:v>490.86</c:v>
                </c:pt>
                <c:pt idx="6">
                  <c:v>543.96</c:v>
                </c:pt>
                <c:pt idx="7">
                  <c:v>618.94</c:v>
                </c:pt>
                <c:pt idx="8">
                  <c:v>669.92</c:v>
                </c:pt>
                <c:pt idx="9">
                  <c:v>728.02</c:v>
                </c:pt>
                <c:pt idx="10">
                  <c:v>819.32</c:v>
                </c:pt>
                <c:pt idx="11">
                  <c:v>910.57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家用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应用!$B$2:$M$2</c:f>
              <c:numCache>
                <c:formatCode>General</c:formatCode>
                <c:ptCount val="12"/>
                <c:pt idx="0">
                  <c:v>86.26</c:v>
                </c:pt>
                <c:pt idx="1">
                  <c:v>94.41</c:v>
                </c:pt>
                <c:pt idx="2">
                  <c:v>106.74</c:v>
                </c:pt>
                <c:pt idx="3">
                  <c:v>96.07</c:v>
                </c:pt>
                <c:pt idx="4">
                  <c:v>103.85</c:v>
                </c:pt>
                <c:pt idx="5">
                  <c:v>118.54</c:v>
                </c:pt>
                <c:pt idx="6">
                  <c:v>126.43</c:v>
                </c:pt>
                <c:pt idx="7">
                  <c:v>136.21</c:v>
                </c:pt>
                <c:pt idx="8">
                  <c:v>134.27</c:v>
                </c:pt>
                <c:pt idx="9">
                  <c:v>141.6</c:v>
                </c:pt>
                <c:pt idx="10">
                  <c:v>154.07</c:v>
                </c:pt>
                <c:pt idx="11">
                  <c:v>168.2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商用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应用!$B$3:$M$3</c:f>
              <c:numCache>
                <c:formatCode>General</c:formatCode>
                <c:ptCount val="12"/>
                <c:pt idx="0">
                  <c:v>49.69</c:v>
                </c:pt>
                <c:pt idx="1">
                  <c:v>55.45</c:v>
                </c:pt>
                <c:pt idx="2">
                  <c:v>61.94</c:v>
                </c:pt>
                <c:pt idx="3">
                  <c:v>55.64</c:v>
                </c:pt>
                <c:pt idx="4">
                  <c:v>62.57</c:v>
                </c:pt>
                <c:pt idx="5">
                  <c:v>71.82</c:v>
                </c:pt>
                <c:pt idx="6">
                  <c:v>79.71</c:v>
                </c:pt>
                <c:pt idx="7">
                  <c:v>85.49</c:v>
                </c:pt>
                <c:pt idx="8">
                  <c:v>86.56</c:v>
                </c:pt>
                <c:pt idx="9">
                  <c:v>90.5</c:v>
                </c:pt>
                <c:pt idx="10">
                  <c:v>101.02</c:v>
                </c:pt>
                <c:pt idx="11">
                  <c:v>109.16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工业用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应用!$B$4:$M$4</c:f>
              <c:numCache>
                <c:formatCode>General</c:formatCode>
                <c:ptCount val="12"/>
                <c:pt idx="0">
                  <c:v>17.22</c:v>
                </c:pt>
                <c:pt idx="1">
                  <c:v>19.15</c:v>
                </c:pt>
                <c:pt idx="2">
                  <c:v>21.32</c:v>
                </c:pt>
                <c:pt idx="3">
                  <c:v>19.44</c:v>
                </c:pt>
                <c:pt idx="4">
                  <c:v>21.14</c:v>
                </c:pt>
                <c:pt idx="5">
                  <c:v>24.23</c:v>
                </c:pt>
                <c:pt idx="6">
                  <c:v>26.65</c:v>
                </c:pt>
                <c:pt idx="7">
                  <c:v>29.15</c:v>
                </c:pt>
                <c:pt idx="8">
                  <c:v>28.92</c:v>
                </c:pt>
                <c:pt idx="9">
                  <c:v>30.46</c:v>
                </c:pt>
                <c:pt idx="10">
                  <c:v>33.12</c:v>
                </c:pt>
                <c:pt idx="11">
                  <c:v>36.04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  <c:extLst>
          <c:ext xmlns:c15="http://schemas.microsoft.com/office/drawing/2012/chart" uri="{02D57815-91ED-43cb-92C2-25804820EDAC}">
            <c15:filteredBarSeries>
              <c15:ser>
                <c:idx val="3"/>
                <c:order val="3"/>
                <c:tx>
                  <c:strRef>
                    <c:extLst>
                      <c:ext uri="{02D57815-91ED-43cb-92C2-25804820EDAC}">
                        <c15:formulaRef>
                          <c15:sqref>应用!$A$5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tx2">
                      <a:lumMod val="60000"/>
                      <a:lumOff val="4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应用!$B$1:$M$1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应用!$B$5:$M$5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4"/>
                <c:order val="4"/>
                <c:tx>
                  <c:strRef>
                    <c:extLst>
                      <c:ext uri="{02D57815-91ED-43cb-92C2-25804820EDAC}">
                        <c15:formulaRef>
                          <c15:sqref>应用!$A$6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accent1">
                      <a:lumMod val="75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应用!$B$1:$M$1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应用!$B$6:$M$6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5"/>
                <c:order val="5"/>
                <c:tx>
                  <c:strRef>
                    <c:extLst>
                      <c:ext uri="{02D57815-91ED-43cb-92C2-25804820EDAC}">
                        <c15:formulaRef>
                          <c15:sqref>应用!$A$7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accent4">
                      <a:lumMod val="60000"/>
                      <a:lumOff val="4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应用!$B$1:$M$1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应用!$B$7:$M$7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6"/>
                <c:order val="6"/>
                <c:tx>
                  <c:strRef>
                    <c:extLst>
                      <c:ext uri="{02D57815-91ED-43cb-92C2-25804820EDAC}">
                        <c15:formulaRef>
                          <c15:sqref>应用!$A$8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accent2">
                      <a:lumMod val="60000"/>
                      <a:lumOff val="4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应用!$B$1:$M$1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应用!$B$8:$M$8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7"/>
                <c:order val="7"/>
                <c:tx>
                  <c:strRef>
                    <c:extLst>
                      <c:ext uri="{02D57815-91ED-43cb-92C2-25804820EDAC}">
                        <c15:formulaRef>
                          <c15:sqref>应用!$A$9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bg2">
                      <a:lumMod val="5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应用!$B$1:$M$1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应用!$B$9:$M$9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  <c15:filteredBarSeries>
              <c15:ser>
                <c:idx val="8"/>
                <c:order val="8"/>
                <c:tx>
                  <c:strRef>
                    <c:extLst>
                      <c:ext uri="{02D57815-91ED-43cb-92C2-25804820EDAC}">
                        <c15:formulaRef>
                          <c15:sqref>应用!$A$10</c15:sqref>
                        </c15:formulaRef>
                      </c:ext>
                    </c:extLst>
                    <c:strCache>
                      <c:ptCount val="1"/>
                      <c:pt idx="0">
                        <c:v/>
                      </c:pt>
                    </c:strCache>
                  </c:strRef>
                </c:tx>
                <c:spPr>
                  <a:solidFill>
                    <a:schemeClr val="accent5">
                      <a:lumMod val="60000"/>
                      <a:lumOff val="40000"/>
                    </a:schemeClr>
                  </a:solidFill>
                  <a:ln>
                    <a:noFill/>
                  </a:ln>
                  <a:effectLst/>
                </c:spPr>
                <c:invertIfNegative val="0"/>
                <c:dLbls>
                  <c:delete val="1"/>
                </c:dLbls>
                <c:cat>
                  <c:numRef>
                    <c:extLst>
                      <c:ext uri="{02D57815-91ED-43cb-92C2-25804820EDAC}">
                        <c15:fullRef>
                          <c15:sqref/>
                        </c15:fullRef>
                        <c15:formulaRef>
                          <c15:sqref>应用!$B$1:$M$1</c15:sqref>
                        </c15:formulaRef>
                      </c:ext>
                    </c:extLst>
                    <c:numCache>
                      <c:formatCode>General</c:formatCode>
                      <c:ptCount val="12"/>
                      <c:pt idx="0">
                        <c:v>2018</c:v>
                      </c:pt>
                      <c:pt idx="1">
                        <c:v>2019</c:v>
                      </c:pt>
                      <c:pt idx="2">
                        <c:v>2020</c:v>
                      </c:pt>
                      <c:pt idx="3">
                        <c:v>2021</c:v>
                      </c:pt>
                      <c:pt idx="4">
                        <c:v>2022</c:v>
                      </c:pt>
                      <c:pt idx="5">
                        <c:v>2023</c:v>
                      </c:pt>
                      <c:pt idx="6">
                        <c:v>2024</c:v>
                      </c:pt>
                      <c:pt idx="7">
                        <c:v>2025</c:v>
                      </c:pt>
                      <c:pt idx="8">
                        <c:v>2026</c:v>
                      </c:pt>
                      <c:pt idx="9">
                        <c:v>2027</c:v>
                      </c:pt>
                      <c:pt idx="10">
                        <c:v>2028</c:v>
                      </c:pt>
                      <c:pt idx="11">
                        <c:v>2029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应用!$B$10:$M$10</c15:sqref>
                        </c15:formulaRef>
                      </c:ext>
                    </c:extLst>
                    <c:numCache>
                      <c:formatCode>General</c:formatCode>
                      <c:ptCount val="12"/>
                    </c:numCache>
                  </c:numRef>
                </c:val>
              </c15:ser>
            </c15:filteredBarSeries>
          </c:ext>
        </c:extLst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>总计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应用!$B$11:$M$11</c:f>
              <c:numCache>
                <c:formatCode>#,##0_);[Red]\(#,##0\)</c:formatCode>
                <c:ptCount val="12"/>
                <c:pt idx="0">
                  <c:v>153.17</c:v>
                </c:pt>
                <c:pt idx="1">
                  <c:v>169.01</c:v>
                </c:pt>
                <c:pt idx="2">
                  <c:v>190</c:v>
                </c:pt>
                <c:pt idx="3">
                  <c:v>171.15</c:v>
                </c:pt>
                <c:pt idx="4">
                  <c:v>187.56</c:v>
                </c:pt>
                <c:pt idx="5">
                  <c:v>214.59</c:v>
                </c:pt>
                <c:pt idx="6">
                  <c:v>232.79</c:v>
                </c:pt>
                <c:pt idx="7">
                  <c:v>250.85</c:v>
                </c:pt>
                <c:pt idx="8">
                  <c:v>249.75</c:v>
                </c:pt>
                <c:pt idx="9">
                  <c:v>262.56</c:v>
                </c:pt>
                <c:pt idx="10">
                  <c:v>288.21</c:v>
                </c:pt>
                <c:pt idx="11">
                  <c:v>313.4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0.54484</cdr:x>
      <cdr:y>0.23027</cdr:y>
    </cdr:from>
    <cdr:to>
      <cdr:x>0.75723</cdr:x>
      <cdr:y>0.49622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371857" y="676274"/>
          <a:ext cx="1314420" cy="781062"/>
          <a:chOff x="2788339" y="1251607"/>
          <a:chExt cx="860936" cy="615814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788339" y="1251607"/>
            <a:ext cx="860936" cy="615814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9226376">
            <a:off x="2948222" y="1445110"/>
            <a:ext cx="514788" cy="223661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6.5%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0.22784</cdr:x>
      <cdr:y>0.50511</cdr:y>
    </cdr:from>
    <cdr:to>
      <cdr:x>0.44331</cdr:x>
      <cdr:y>0.59235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10036" y="1483445"/>
          <a:ext cx="1333481" cy="256213"/>
          <a:chOff x="3290354" y="2519215"/>
          <a:chExt cx="1060687" cy="25917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290354" y="2519215"/>
            <a:ext cx="1060687" cy="221632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9228821">
            <a:off x="3450377" y="2555570"/>
            <a:ext cx="640743" cy="222823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5.2%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428FB8-81AB-48E1-AA71-9E1ACFFC33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264</Words>
  <Characters>1509</Characters>
  <Lines>12</Lines>
  <Paragraphs>3</Paragraphs>
  <TotalTime>33</TotalTime>
  <ScaleCrop>false</ScaleCrop>
  <LinksUpToDate>false</LinksUpToDate>
  <CharactersWithSpaces>1770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2023-12-26T08:43:00Z</dcterms:created>
  <dc:creator>yangj</dc:creator>
  <cp:lastModifiedBy>*星*空夜@话</cp:lastModifiedBy>
  <dcterms:modified xsi:type="dcterms:W3CDTF">2024-01-17T10:12:49Z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05BA5392F6864A80A74BFF71FD400F5D_12</vt:lpwstr>
  </property>
</Properties>
</file>