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257C6">
      <w:pPr>
        <w:pStyle w:val="2"/>
        <w:bidi w:val="0"/>
        <w:rPr>
          <w:rFonts w:hint="eastAsia" w:ascii="楷体" w:hAnsi="楷体" w:eastAsia="楷体" w:cs="楷体"/>
          <w:sz w:val="44"/>
          <w:szCs w:val="44"/>
        </w:rPr>
      </w:pPr>
      <w:bookmarkStart w:id="0" w:name="_GoBack"/>
      <w:r>
        <w:rPr>
          <w:rFonts w:hint="eastAsia" w:ascii="楷体" w:hAnsi="楷体" w:eastAsia="楷体" w:cs="楷体"/>
          <w:sz w:val="44"/>
          <w:szCs w:val="44"/>
        </w:rPr>
        <w:t>ADC药物PK分析“黄金搭档”：抗DXD抗体如何精准捕捉药物释放动态？</w:t>
      </w:r>
    </w:p>
    <w:bookmarkEnd w:id="0"/>
    <w:p w14:paraId="0367D2A9">
      <w:pPr>
        <w:rPr>
          <w:rFonts w:hint="eastAsia" w:ascii="楷体" w:hAnsi="楷体" w:eastAsia="楷体" w:cs="楷体"/>
          <w:sz w:val="28"/>
          <w:szCs w:val="28"/>
        </w:rPr>
      </w:pPr>
    </w:p>
    <w:p w14:paraId="2618BA92">
      <w:pPr>
        <w:rPr>
          <w:rFonts w:hint="eastAsia" w:ascii="楷体" w:hAnsi="楷体" w:eastAsia="楷体" w:cs="楷体"/>
          <w:sz w:val="28"/>
          <w:szCs w:val="28"/>
        </w:rPr>
      </w:pPr>
    </w:p>
    <w:p w14:paraId="18487A07">
      <w:pPr>
        <w:pStyle w:val="3"/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前言</w:t>
      </w:r>
    </w:p>
    <w:p w14:paraId="22F391E5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抗体偶联药物（ADC）凭借“魔法子弹”的精准杀伤力成为抗癌新星。ADC不仅配备识别肿瘤细胞的“导航系统”——抗体，更是搭载高效抗癌“弹药”——有效载荷（Payload）。</w:t>
      </w:r>
    </w:p>
    <w:p w14:paraId="47500A84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Payload是ADC在细胞内发挥毒性作用的关键</w:t>
      </w:r>
      <w:r>
        <w:rPr>
          <w:rFonts w:hint="eastAsia" w:ascii="楷体" w:hAnsi="楷体" w:eastAsia="楷体" w:cs="楷体"/>
          <w:sz w:val="28"/>
          <w:szCs w:val="28"/>
        </w:rPr>
        <w:t>，决定ADC的效力和适应症范围。新型拓扑异构酶抑制剂，如Exatecan衍生物Dxd、SN-38等，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已成为ADC药物“开疆拓土的急先锋”。</w:t>
      </w:r>
    </w:p>
    <w:p w14:paraId="1C5F8594">
      <w:pPr>
        <w:pStyle w:val="3"/>
        <w:bidi w:val="0"/>
        <w:rPr>
          <w:rFonts w:hint="eastAsia" w:ascii="楷体" w:hAnsi="楷体" w:eastAsia="楷体" w:cs="楷体"/>
        </w:rPr>
      </w:pPr>
    </w:p>
    <w:p w14:paraId="5FF29DD4">
      <w:pPr>
        <w:pStyle w:val="3"/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癌细胞的精准“狙击手”</w:t>
      </w:r>
    </w:p>
    <w:p w14:paraId="63DE0F74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理想的Payload应具有足够强的细胞毒性、较低的免疫原性、较高的稳定性、有旁观者效应等特性。</w:t>
      </w:r>
    </w:p>
    <w:p w14:paraId="0AABC244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Payload历经三代技术迭代，第一代使用细胞毒性载荷，如甲氨蝶呤、长春花碱、阿霉素，第二代以微管蛋白抑制剂为主，第三代主要为DNA损伤剂。</w:t>
      </w:r>
    </w:p>
    <w:p w14:paraId="1512FB65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如今最耀眼的Payload当属拓扑异构酶抑制剂</w:t>
      </w:r>
      <w:r>
        <w:rPr>
          <w:rFonts w:hint="eastAsia" w:ascii="楷体" w:hAnsi="楷体" w:eastAsia="楷体" w:cs="楷体"/>
          <w:sz w:val="28"/>
          <w:szCs w:val="28"/>
        </w:rPr>
        <w:t>。这类物质通过特异性阻断癌细胞DNA复制，实现高效杀灭肿瘤细胞的同时降低副作用。</w:t>
      </w:r>
    </w:p>
    <w:p w14:paraId="734FF5CD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研究发现，依喜替康（Exatecan）衍生物Dxd的体外抗肿瘤活性达到SN-38的10倍，而SN-38本身已是伊立替康（Irinotecan，一种喜树碱衍生物）的100-1000倍。这种指数级的效能提升，使得基于拓扑异构酶抑制剂的ADC药物在临床试验中表现亮眼。</w:t>
      </w:r>
    </w:p>
    <w:p w14:paraId="618D28C1">
      <w:pPr>
        <w:jc w:val="center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drawing>
          <wp:inline distT="0" distB="0" distL="114300" distR="114300">
            <wp:extent cx="5266690" cy="2658110"/>
            <wp:effectExtent l="0" t="0" r="10160" b="8890"/>
            <wp:docPr id="1" name="图片 1" descr="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B41F5">
      <w:pPr>
        <w:jc w:val="center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基于Dxd和SN-38的ADC研究（源自文献：doi: 10.1186/s13045-022-01397-y）</w:t>
      </w:r>
    </w:p>
    <w:p w14:paraId="73DC282F">
      <w:pPr>
        <w:rPr>
          <w:rFonts w:hint="eastAsia" w:ascii="楷体" w:hAnsi="楷体" w:eastAsia="楷体" w:cs="楷体"/>
          <w:sz w:val="28"/>
          <w:szCs w:val="28"/>
        </w:rPr>
      </w:pPr>
    </w:p>
    <w:p w14:paraId="4BC055A0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截止到2025年4月10日，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全球已有4款基于拓扑异构酶Ⅰ抑制剂的ADC药物获批上市。</w:t>
      </w:r>
    </w:p>
    <w:p w14:paraId="167BB2F3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三款获得美国FDA批准，分别为第一三共和阿斯利康联合开发两款以Dxd为有效载荷的Trastuzumab deruxtecan（Enhertu®）和Datopotamab deruxtecan（Datroway®），分别靶向HER2和TROP2，以及吉利德开发的以SN-38为有效载荷的靶向TROP2的Sacituzumab govitecan（Trodelvy®）。</w:t>
      </w:r>
    </w:p>
    <w:p w14:paraId="5CE0BC8B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另一款获得我国NMPA批准，即科伦博泰开发的靶向TROP2的芦康沙妥珠单抗（佳泰莱®），有效载荷为一种新型的Belotecan衍生的拓扑异构酶Ⅰ抑制剂。</w:t>
      </w:r>
    </w:p>
    <w:p w14:paraId="7DE9E6F1">
      <w:pPr>
        <w:pStyle w:val="3"/>
        <w:bidi w:val="0"/>
        <w:rPr>
          <w:rFonts w:hint="eastAsia" w:ascii="楷体" w:hAnsi="楷体" w:eastAsia="楷体" w:cs="楷体"/>
        </w:rPr>
      </w:pPr>
    </w:p>
    <w:p w14:paraId="76C1F730">
      <w:pPr>
        <w:pStyle w:val="3"/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抗Dxd抗体：助力ADC开发</w:t>
      </w:r>
    </w:p>
    <w:p w14:paraId="209E2474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ADC药物开发需要确定其稳定性、药物释放速率、药效和毒性等，尤其是肿瘤细胞内有效载荷的分子浓度。</w:t>
      </w:r>
    </w:p>
    <w:p w14:paraId="5D53A9CB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义翘神州成功开发一系列抗Dxd抗体，</w:t>
      </w:r>
      <w:r>
        <w:rPr>
          <w:rFonts w:hint="eastAsia" w:ascii="楷体" w:hAnsi="楷体" w:eastAsia="楷体" w:cs="楷体"/>
          <w:sz w:val="28"/>
          <w:szCs w:val="28"/>
        </w:rPr>
        <w:t>包括兔单抗、鼠单抗以及生物素标记抗体，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适用于ADC临床前和临床阶段的DAR和PK分析，具有高纯度、高特异性、高亲和力特性。</w:t>
      </w:r>
    </w:p>
    <w:p w14:paraId="7D2045B2">
      <w:pPr>
        <w:pStyle w:val="4"/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产品验证数据</w:t>
      </w:r>
    </w:p>
    <w:p w14:paraId="7FA3F0C0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Anti-Dxd/Exatecan 鼠单抗， Cat: 68256-MM01</w:t>
      </w:r>
    </w:p>
    <w:p w14:paraId="6285C33E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ADC结合试验 &amp; 竞争结合试验</w:t>
      </w:r>
    </w:p>
    <w:p w14:paraId="703995FB">
      <w:pPr>
        <w:jc w:val="center"/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  <w:drawing>
          <wp:inline distT="0" distB="0" distL="114300" distR="114300">
            <wp:extent cx="5273040" cy="4145915"/>
            <wp:effectExtent l="0" t="0" r="3810" b="6985"/>
            <wp:docPr id="2" name="图片 2" descr="2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-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14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9852B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Immobilized Anti-Dxd/Exatecan Antibody at 1 μg/mL (100 μL/well), add gradient-diluted Dxd-ADC and Recombiant Human ErbB2 Protein (Cat# 10004-H08H), then add the HRP conjugated anti-His antibody (Cat# 105327-MM02T-H), the EC50 is 0.5-15 ng/mL. The naked antibody (without Dxd) is the negative control.</w:t>
      </w:r>
    </w:p>
    <w:p w14:paraId="2B0B747E">
      <w:pPr>
        <w:rPr>
          <w:rFonts w:hint="eastAsia" w:ascii="楷体" w:hAnsi="楷体" w:eastAsia="楷体" w:cs="楷体"/>
          <w:sz w:val="24"/>
          <w:szCs w:val="24"/>
        </w:rPr>
      </w:pPr>
    </w:p>
    <w:p w14:paraId="2BB49126">
      <w:pPr>
        <w:jc w:val="center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drawing>
          <wp:inline distT="0" distB="0" distL="114300" distR="114300">
            <wp:extent cx="5266690" cy="4110990"/>
            <wp:effectExtent l="0" t="0" r="10160" b="3810"/>
            <wp:docPr id="6" name="图片 6" descr="2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-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11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37A1E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Immobilized Dxd-ADC at 1 μg/mL (100 μL/well), add Anti-Dxd/Exatecan Antibody (Cat#: 68256-MM01) 1 μg/mL (50 μL/well), gradient-diluted free Dxd or Exatecan from 0.4 μg/ml (50 μL/well) blocked the binding of Anti-Dxd/Exatecan Antibody to Dxd-ADC.</w:t>
      </w:r>
    </w:p>
    <w:p w14:paraId="0B1D19D3">
      <w:pPr>
        <w:rPr>
          <w:rFonts w:hint="eastAsia" w:ascii="楷体" w:hAnsi="楷体" w:eastAsia="楷体" w:cs="楷体"/>
          <w:sz w:val="24"/>
          <w:szCs w:val="24"/>
        </w:rPr>
      </w:pPr>
    </w:p>
    <w:p w14:paraId="7EAF6E4E">
      <w:pPr>
        <w:rPr>
          <w:rFonts w:hint="eastAsia" w:ascii="楷体" w:hAnsi="楷体" w:eastAsia="楷体" w:cs="楷体"/>
          <w:sz w:val="24"/>
          <w:szCs w:val="24"/>
          <w:lang w:eastAsia="zh-CN"/>
        </w:rPr>
      </w:pPr>
    </w:p>
    <w:p w14:paraId="2F632A1A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交叉反应试验</w:t>
      </w:r>
    </w:p>
    <w:p w14:paraId="3EFFC497">
      <w:pPr>
        <w:jc w:val="center"/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  <w:drawing>
          <wp:inline distT="0" distB="0" distL="114300" distR="114300">
            <wp:extent cx="5266690" cy="2336165"/>
            <wp:effectExtent l="0" t="0" r="10160" b="6985"/>
            <wp:docPr id="4" name="图片 4" descr="2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-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3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D9325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Immobilized Dxd-ADC, Naked Antibody, Exatecan ADC, Naked Antibody, Dxd-OVA, MMAE-OVA, MMAF-OVA, DM1-OVA, SN38-OVA, OVA, at 1 μg/mL (100 μL/well), then add the Anti-Dxd Antibody (Cat#: 68256-MM01) to detect the cross-reactivity.</w:t>
      </w:r>
    </w:p>
    <w:p w14:paraId="20931FFB">
      <w:pPr>
        <w:rPr>
          <w:rFonts w:hint="eastAsia" w:ascii="楷体" w:hAnsi="楷体" w:eastAsia="楷体" w:cs="楷体"/>
          <w:sz w:val="28"/>
          <w:szCs w:val="28"/>
        </w:rPr>
      </w:pPr>
    </w:p>
    <w:p w14:paraId="02444083">
      <w:pPr>
        <w:pStyle w:val="3"/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抗Payload抗体应用场景有哪些？</w:t>
      </w:r>
    </w:p>
    <w:p w14:paraId="7A48512C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1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ADC药代动力学分析</w:t>
      </w:r>
    </w:p>
    <w:p w14:paraId="058B2A98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ADC异质性较高，必须评估多种待测物才能确定其药代动力学（PK）特征。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常用于表征ADC药物PK特征的待测物包括总抗体、偶联抗体、抗体偶联药物、未偶联药物等</w:t>
      </w:r>
      <w:r>
        <w:rPr>
          <w:rFonts w:hint="eastAsia" w:ascii="楷体" w:hAnsi="楷体" w:eastAsia="楷体" w:cs="楷体"/>
          <w:sz w:val="28"/>
          <w:szCs w:val="28"/>
        </w:rPr>
        <w:t>。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640CB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2B57804B"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待测物</w:t>
            </w:r>
          </w:p>
        </w:tc>
        <w:tc>
          <w:tcPr>
            <w:tcW w:w="2841" w:type="dxa"/>
          </w:tcPr>
          <w:p w14:paraId="317C211E"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描述</w:t>
            </w:r>
          </w:p>
        </w:tc>
        <w:tc>
          <w:tcPr>
            <w:tcW w:w="2841" w:type="dxa"/>
          </w:tcPr>
          <w:p w14:paraId="1406F15C"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常用分析方法</w:t>
            </w:r>
          </w:p>
        </w:tc>
      </w:tr>
      <w:tr w14:paraId="675DE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9395AEA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总抗体</w:t>
            </w:r>
          </w:p>
        </w:tc>
        <w:tc>
          <w:tcPr>
            <w:tcW w:w="2841" w:type="dxa"/>
          </w:tcPr>
          <w:p w14:paraId="49A6DB07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全部偶联、部分偶联以及未偶联的抗体（DAR≥0）</w:t>
            </w:r>
          </w:p>
        </w:tc>
        <w:tc>
          <w:tcPr>
            <w:tcW w:w="2841" w:type="dxa"/>
          </w:tcPr>
          <w:p w14:paraId="40AAC8BF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LBA</w:t>
            </w:r>
          </w:p>
        </w:tc>
      </w:tr>
      <w:tr w14:paraId="0A61C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31EFC6C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偶联抗体</w:t>
            </w:r>
          </w:p>
        </w:tc>
        <w:tc>
          <w:tcPr>
            <w:tcW w:w="2841" w:type="dxa"/>
          </w:tcPr>
          <w:p w14:paraId="229BC517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至少偶联一个有效载荷的抗体（DAR≥1）</w:t>
            </w:r>
          </w:p>
        </w:tc>
        <w:tc>
          <w:tcPr>
            <w:tcW w:w="2841" w:type="dxa"/>
          </w:tcPr>
          <w:p w14:paraId="3054A381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LBA</w:t>
            </w:r>
          </w:p>
        </w:tc>
      </w:tr>
      <w:tr w14:paraId="1400D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DF5B475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抗体偶联药物</w:t>
            </w:r>
          </w:p>
        </w:tc>
        <w:tc>
          <w:tcPr>
            <w:tcW w:w="2841" w:type="dxa"/>
          </w:tcPr>
          <w:p w14:paraId="2D8FED79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所有偶联在抗体上的有效载荷</w:t>
            </w:r>
          </w:p>
        </w:tc>
        <w:tc>
          <w:tcPr>
            <w:tcW w:w="2841" w:type="dxa"/>
          </w:tcPr>
          <w:p w14:paraId="4EE2F137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LC-MS/MS，LBA</w:t>
            </w:r>
          </w:p>
        </w:tc>
      </w:tr>
      <w:tr w14:paraId="2234F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DC7C309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未偶联药物</w:t>
            </w:r>
          </w:p>
        </w:tc>
        <w:tc>
          <w:tcPr>
            <w:tcW w:w="2841" w:type="dxa"/>
          </w:tcPr>
          <w:p w14:paraId="04CBEA67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游离或被释放的有效载荷及其代谢物</w:t>
            </w:r>
          </w:p>
        </w:tc>
        <w:tc>
          <w:tcPr>
            <w:tcW w:w="2841" w:type="dxa"/>
          </w:tcPr>
          <w:p w14:paraId="60BC00C9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LC-MS/MS</w:t>
            </w:r>
          </w:p>
        </w:tc>
      </w:tr>
      <w:tr w14:paraId="71A65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3F42FF1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总药</w:t>
            </w:r>
          </w:p>
        </w:tc>
        <w:tc>
          <w:tcPr>
            <w:tcW w:w="2841" w:type="dxa"/>
          </w:tcPr>
          <w:p w14:paraId="2A089597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所有偶联的和游离的有效载荷</w:t>
            </w:r>
          </w:p>
        </w:tc>
        <w:tc>
          <w:tcPr>
            <w:tcW w:w="2841" w:type="dxa"/>
          </w:tcPr>
          <w:p w14:paraId="4B9E9FD4"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LC-MS/MS</w:t>
            </w:r>
          </w:p>
          <w:p w14:paraId="69D90434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</w:tbl>
    <w:p w14:paraId="36399C3C">
      <w:pPr>
        <w:rPr>
          <w:rFonts w:hint="eastAsia" w:ascii="楷体" w:hAnsi="楷体" w:eastAsia="楷体" w:cs="楷体"/>
          <w:sz w:val="28"/>
          <w:szCs w:val="28"/>
        </w:rPr>
      </w:pPr>
    </w:p>
    <w:p w14:paraId="309D25EB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利用基于配体结合分析（LBA）和液相色谱-串联质谱检测（LC-MS/MS）的方法来检测各种ADC分析物。LBA常用于检测ADC药物中的总抗体（DAR≥0）和偶联抗体（DAR≥1），LC-MS/MS常用于检测ADC药物中各种形式的有效载荷。</w:t>
      </w:r>
    </w:p>
    <w:p w14:paraId="1252C944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在ADC的PK分析中，抗Payload抗体可用于监测偶联抗体的浓度变化、分布情况及清除速率等。酶联免疫吸附试验（ELISA）是LBA检测样本中不同分析物的金标准。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抗Payload抗体可用于检测偶联抗体，即至少偶联一个药物的抗体（DAR≥1）</w:t>
      </w:r>
      <w:r>
        <w:rPr>
          <w:rFonts w:hint="eastAsia" w:ascii="楷体" w:hAnsi="楷体" w:eastAsia="楷体" w:cs="楷体"/>
          <w:sz w:val="28"/>
          <w:szCs w:val="28"/>
        </w:rPr>
        <w:t>。</w:t>
      </w:r>
    </w:p>
    <w:p w14:paraId="23303D9D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2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DAR值定量分析</w:t>
      </w:r>
    </w:p>
    <w:p w14:paraId="1C3050A0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DAR值不仅决定Payload的载量，还会影响ADC在体内的分布和清除速率等PK特征，并影响ADC的安全性和有效性。一般认为，当DAR值为2-4时，ADC药物能展现出最佳的治疗效果。而当DAR值过高时，则会引发较高的细胞毒性。在ADC的开发过程中，准确测定和监测DAR值的分布是至关重要的。</w:t>
      </w:r>
    </w:p>
    <w:p w14:paraId="32D0D454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DAR的分析主要涉及两个方面：一是平均DAR值，即测定体系中总的药物分子和抗体分子的摩尔浓度之比；二是DAR的分布，即具有不同DAR的ADC分子分别占总的ADC分子的比例。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抗Payload抗体可用于定量分析ADC药物中的抗体偶联药物，即所有偶联在抗体上的药物小分子。</w:t>
      </w:r>
    </w:p>
    <w:p w14:paraId="4188E8BC">
      <w:pPr>
        <w:pStyle w:val="3"/>
        <w:bidi w:val="0"/>
        <w:rPr>
          <w:rFonts w:hint="eastAsia" w:ascii="楷体" w:hAnsi="楷体" w:eastAsia="楷体" w:cs="楷体"/>
        </w:rPr>
      </w:pPr>
    </w:p>
    <w:p w14:paraId="481BD278">
      <w:pPr>
        <w:pStyle w:val="3"/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义翘神州Anti-Payload抗体产品</w:t>
      </w:r>
    </w:p>
    <w:p w14:paraId="1584FCF4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义翘神州成功开发一系列抗Payload抗体</w:t>
      </w:r>
      <w:r>
        <w:rPr>
          <w:rFonts w:hint="eastAsia" w:ascii="楷体" w:hAnsi="楷体" w:eastAsia="楷体" w:cs="楷体"/>
          <w:sz w:val="28"/>
          <w:szCs w:val="28"/>
        </w:rPr>
        <w:t>，包括抗Dxd/Exatecan、MMAE、MMAF等单克隆抗体，具有高纯度、高特异性、高亲和力的优势，用于检测ADC药物的血浆/血清动力学特征、DAR值和载药量分布，评估ADC药物的稳定性、安全性和有效性，加速ADC药物的研发进程。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8DDE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A9AACC1"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分子</w:t>
            </w:r>
          </w:p>
        </w:tc>
        <w:tc>
          <w:tcPr>
            <w:tcW w:w="2841" w:type="dxa"/>
          </w:tcPr>
          <w:p w14:paraId="5A65983F"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货号</w:t>
            </w:r>
          </w:p>
        </w:tc>
        <w:tc>
          <w:tcPr>
            <w:tcW w:w="2841" w:type="dxa"/>
          </w:tcPr>
          <w:p w14:paraId="0C26ACFF"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产品名称</w:t>
            </w:r>
          </w:p>
        </w:tc>
      </w:tr>
      <w:tr w14:paraId="7F7DD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</w:tcPr>
          <w:p w14:paraId="7AE57457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Dxd/Exatecan</w:t>
            </w:r>
          </w:p>
        </w:tc>
        <w:tc>
          <w:tcPr>
            <w:tcW w:w="2841" w:type="dxa"/>
          </w:tcPr>
          <w:p w14:paraId="3432379E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68256-MM01</w:t>
            </w:r>
          </w:p>
        </w:tc>
        <w:tc>
          <w:tcPr>
            <w:tcW w:w="2841" w:type="dxa"/>
          </w:tcPr>
          <w:p w14:paraId="461DBC38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抗Dxd鼠单抗</w:t>
            </w:r>
          </w:p>
        </w:tc>
      </w:tr>
      <w:tr w14:paraId="64BB9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1DBF3D7A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841" w:type="dxa"/>
          </w:tcPr>
          <w:p w14:paraId="419E4DFB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68256-MM06</w:t>
            </w:r>
          </w:p>
        </w:tc>
        <w:tc>
          <w:tcPr>
            <w:tcW w:w="2841" w:type="dxa"/>
          </w:tcPr>
          <w:p w14:paraId="36226178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抗Dxd鼠单抗</w:t>
            </w:r>
          </w:p>
        </w:tc>
      </w:tr>
      <w:tr w14:paraId="31150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6E07DDEB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841" w:type="dxa"/>
          </w:tcPr>
          <w:p w14:paraId="2151A31E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68256-MM08</w:t>
            </w:r>
          </w:p>
        </w:tc>
        <w:tc>
          <w:tcPr>
            <w:tcW w:w="2841" w:type="dxa"/>
          </w:tcPr>
          <w:p w14:paraId="16AED199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抗Dxd鼠单抗</w:t>
            </w:r>
          </w:p>
        </w:tc>
      </w:tr>
      <w:tr w14:paraId="3D637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71E44E2C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841" w:type="dxa"/>
          </w:tcPr>
          <w:p w14:paraId="64EFE95F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68256-R0009</w:t>
            </w:r>
          </w:p>
        </w:tc>
        <w:tc>
          <w:tcPr>
            <w:tcW w:w="2841" w:type="dxa"/>
          </w:tcPr>
          <w:p w14:paraId="42536DEC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抗Dxd兔单抗</w:t>
            </w:r>
          </w:p>
        </w:tc>
      </w:tr>
      <w:tr w14:paraId="513DF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840" w:type="dxa"/>
            <w:vMerge w:val="continue"/>
          </w:tcPr>
          <w:p w14:paraId="38755507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841" w:type="dxa"/>
          </w:tcPr>
          <w:p w14:paraId="7EE5F3BF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68256-R0014</w:t>
            </w:r>
          </w:p>
        </w:tc>
        <w:tc>
          <w:tcPr>
            <w:tcW w:w="2841" w:type="dxa"/>
          </w:tcPr>
          <w:p w14:paraId="041AB247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抗Dxd兔单抗</w:t>
            </w:r>
          </w:p>
        </w:tc>
      </w:tr>
      <w:tr w14:paraId="7F38D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0B338661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841" w:type="dxa"/>
          </w:tcPr>
          <w:p w14:paraId="642D540F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68256-MM01T-B</w:t>
            </w:r>
          </w:p>
        </w:tc>
        <w:tc>
          <w:tcPr>
            <w:tcW w:w="2841" w:type="dxa"/>
          </w:tcPr>
          <w:p w14:paraId="58C1DAF5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抗Dxd鼠单抗 (Biotin)</w:t>
            </w:r>
          </w:p>
        </w:tc>
      </w:tr>
      <w:tr w14:paraId="535DB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293F32D2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841" w:type="dxa"/>
          </w:tcPr>
          <w:p w14:paraId="42BA314E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68256-R0014-B</w:t>
            </w:r>
          </w:p>
        </w:tc>
        <w:tc>
          <w:tcPr>
            <w:tcW w:w="2841" w:type="dxa"/>
          </w:tcPr>
          <w:p w14:paraId="4C8FD347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抗Dxd兔单抗 (Biotin)</w:t>
            </w:r>
          </w:p>
        </w:tc>
      </w:tr>
      <w:tr w14:paraId="3B994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</w:tcPr>
          <w:p w14:paraId="1FB2A1D9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MMAE</w:t>
            </w:r>
          </w:p>
        </w:tc>
        <w:tc>
          <w:tcPr>
            <w:tcW w:w="2841" w:type="dxa"/>
          </w:tcPr>
          <w:p w14:paraId="2A5B3BCA"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68218-MM08</w:t>
            </w:r>
          </w:p>
        </w:tc>
        <w:tc>
          <w:tcPr>
            <w:tcW w:w="2841" w:type="dxa"/>
          </w:tcPr>
          <w:p w14:paraId="5F9B5059"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抗MMAE鼠单抗</w:t>
            </w:r>
          </w:p>
        </w:tc>
      </w:tr>
      <w:tr w14:paraId="66D82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577BE711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841" w:type="dxa"/>
          </w:tcPr>
          <w:p w14:paraId="06B8726A"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68218-MM08T-B</w:t>
            </w:r>
          </w:p>
        </w:tc>
        <w:tc>
          <w:tcPr>
            <w:tcW w:w="2841" w:type="dxa"/>
          </w:tcPr>
          <w:p w14:paraId="39610E8F"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抗MMAE鼠单抗 (Biotin)</w:t>
            </w:r>
          </w:p>
        </w:tc>
      </w:tr>
      <w:tr w14:paraId="61389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5A32673">
            <w:pP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MMAF</w:t>
            </w:r>
          </w:p>
        </w:tc>
        <w:tc>
          <w:tcPr>
            <w:tcW w:w="2841" w:type="dxa"/>
          </w:tcPr>
          <w:p w14:paraId="346133ED"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68219-MM01</w:t>
            </w:r>
          </w:p>
        </w:tc>
        <w:tc>
          <w:tcPr>
            <w:tcW w:w="2841" w:type="dxa"/>
          </w:tcPr>
          <w:p w14:paraId="0D645A06"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抗MMAF鼠单抗</w:t>
            </w:r>
          </w:p>
        </w:tc>
      </w:tr>
    </w:tbl>
    <w:p w14:paraId="4E79CD5A">
      <w:pPr>
        <w:rPr>
          <w:rFonts w:hint="eastAsia" w:ascii="楷体" w:hAnsi="楷体" w:eastAsia="楷体" w:cs="楷体"/>
          <w:sz w:val="28"/>
          <w:szCs w:val="28"/>
        </w:rPr>
      </w:pPr>
    </w:p>
    <w:p w14:paraId="3A4CD000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更多抗Payload抗体（Anti-DM1 Antibody, Anti-DM4 Antibody, Anti-SN-38 Antibody）即将上线，欢迎咨询与试用（邮箱：order@sinobiological.com）点击查看新品Anti-Dxd抗体更多相关信息！</w:t>
      </w:r>
    </w:p>
    <w:p w14:paraId="1AAF73E4">
      <w:pPr>
        <w:jc w:val="center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drawing>
          <wp:inline distT="0" distB="0" distL="114300" distR="114300">
            <wp:extent cx="5266690" cy="2438400"/>
            <wp:effectExtent l="0" t="0" r="10160" b="0"/>
            <wp:docPr id="7" name="图片 7" descr="2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-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1BA66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免责声明：义翘神州内容团队仅是分享和解读公开的研究论文及其发现，专注于介绍全球生物医药研究新进展。本文仅作信息交流用，文中观点不代表义翘神州立场。随着对疾病机制研究的深入，新的实验结果或结论可能会修改或推翻文中的描述，还请大家理解。</w:t>
      </w:r>
    </w:p>
    <w:p w14:paraId="655429F6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本文不属于治疗方案推荐，如需获得治疗方案指导，请前往正规医院就诊。本司产品目前仅可用于科学研究，不可用于临床治疗。</w:t>
      </w:r>
    </w:p>
    <w:p w14:paraId="502BC924">
      <w:pPr>
        <w:rPr>
          <w:rFonts w:hint="eastAsia" w:ascii="楷体" w:hAnsi="楷体" w:eastAsia="楷体" w:cs="楷体"/>
          <w:sz w:val="28"/>
          <w:szCs w:val="28"/>
        </w:rPr>
      </w:pPr>
    </w:p>
    <w:p w14:paraId="6CC86F83">
      <w:pPr>
        <w:rPr>
          <w:rFonts w:hint="eastAsia"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【参考文献】</w:t>
      </w:r>
    </w:p>
    <w:p w14:paraId="64585BD9">
      <w:r>
        <w:rPr>
          <w:rFonts w:hint="eastAsia" w:ascii="楷体" w:hAnsi="楷体" w:eastAsia="楷体" w:cs="楷体"/>
          <w:sz w:val="24"/>
          <w:szCs w:val="24"/>
        </w:rPr>
        <w:t>1. Louise Conilh, et al. Payload diversifcation: a key step in the development of antibody-drug conjugates. Journal of Hematology &amp; Oncology, 2023. https://doi.org/10.1186/s13045-022-01397-y2. Han, S. et al. The Potentialof Topoisomerase Inhibitor-BasedAntibody–Drug Conjugates.Pharmaceutics, 2022.https://doi.org/10.3390/pharmaceutics14081707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D7C419">
    <w:pPr>
      <w:pStyle w:val="5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3694430</wp:posOffset>
              </wp:positionH>
              <wp:positionV relativeFrom="page">
                <wp:posOffset>9856470</wp:posOffset>
              </wp:positionV>
              <wp:extent cx="2776855" cy="159385"/>
              <wp:effectExtent l="0" t="0" r="0" b="0"/>
              <wp:wrapNone/>
              <wp:docPr id="9" name="Text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76855" cy="1593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E7B20B8">
                          <w:pPr>
                            <w:spacing w:before="0" w:line="250" w:lineRule="exact"/>
                            <w:ind w:left="20" w:right="0" w:firstLine="0"/>
                            <w:jc w:val="left"/>
                            <w:rPr>
                              <w:sz w:val="21"/>
                            </w:rPr>
                          </w:pPr>
                          <w:r>
                            <w:rPr>
                              <w:spacing w:val="-1"/>
                              <w:sz w:val="21"/>
                            </w:rPr>
                            <w:t>——义翘神州以精品试剂助力您的科研事业！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9" o:spid="_x0000_s1026" o:spt="202" type="#_x0000_t202" style="position:absolute;left:0pt;margin-left:290.9pt;margin-top:776.1pt;height:12.55pt;width:218.65pt;mso-position-horizontal-relative:page;mso-position-vertical-relative:page;z-index:-251655168;mso-width-relative:page;mso-height-relative:page;" filled="f" stroked="f" coordsize="21600,21600" o:gfxdata="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7+rKktsAAAAOAQAADwAAAAAAAAABACAAAAAiAAAAZHJzL2Rvd25yZXYueG1sUEsBAhQAFAAA&#10;AAgAh07iQHp6/vmzAQAAdAMAAA4AAAAAAAAAAQAgAAAAK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E7B20B8">
                    <w:pPr>
                      <w:spacing w:before="0" w:line="250" w:lineRule="exact"/>
                      <w:ind w:left="2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——义翘神州以精品试剂助力您的科研事业！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874BC3">
    <w:pPr>
      <w:pStyle w:val="6"/>
    </w:pPr>
    <w: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787400</wp:posOffset>
              </wp:positionV>
              <wp:extent cx="1988820" cy="159385"/>
              <wp:effectExtent l="0" t="0" r="0" b="0"/>
              <wp:wrapNone/>
              <wp:docPr id="5" name="Text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88820" cy="1593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C43B7FB">
                          <w:pPr>
                            <w:spacing w:before="0" w:line="250" w:lineRule="exact"/>
                            <w:ind w:left="20" w:right="0" w:firstLine="0"/>
                            <w:jc w:val="left"/>
                            <w:rPr>
                              <w:sz w:val="21"/>
                            </w:rPr>
                          </w:pPr>
                          <w:r>
                            <w:rPr>
                              <w:spacing w:val="-1"/>
                              <w:w w:val="105"/>
                              <w:sz w:val="21"/>
                            </w:rPr>
                            <w:t>北京义翘神州科技股份有限公司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" o:spid="_x0000_s1026" o:spt="202" type="#_x0000_t202" style="position:absolute;left:0pt;margin-left:351.2pt;margin-top:62pt;height:12.55pt;width:156.6pt;mso-position-horizontal-relative:page;mso-position-vertical-relative:page;z-index:-251656192;mso-width-relative:page;mso-height-relative:page;" filled="f" stroked="f" coordsize="21600,21600" o:gfxdata="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96lkbdoAAAAMAQAADwAAAAAAAAABACAAAAAiAAAAZHJzL2Rvd25yZXYueG1sUEsBAhQAFAAAAAgA&#10;h07iQMNhJOexAQAAdAMAAA4AAAAAAAAAAQAgAAAAK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C43B7FB">
                    <w:pPr>
                      <w:spacing w:before="0" w:line="250" w:lineRule="exact"/>
                      <w:ind w:left="2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w w:val="105"/>
                        <w:sz w:val="21"/>
                      </w:rPr>
                      <w:t>北京义翘神州科技股份有限公司</w:t>
                    </w:r>
                  </w:p>
                </w:txbxContent>
              </v:textbox>
            </v:shape>
          </w:pict>
        </mc:Fallback>
      </mc:AlternateContent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41275</wp:posOffset>
          </wp:positionH>
          <wp:positionV relativeFrom="paragraph">
            <wp:posOffset>-19685</wp:posOffset>
          </wp:positionV>
          <wp:extent cx="2233930" cy="382905"/>
          <wp:effectExtent l="0" t="0" r="13970" b="17145"/>
          <wp:wrapNone/>
          <wp:docPr id="3" name="Imag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33877" cy="38305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YTA5Y2Y5Y2I0NzU2ZDExMmM5ZWY5YTU1YWU0MjAifQ=="/>
  </w:docVars>
  <w:rsids>
    <w:rsidRoot w:val="6B011BE9"/>
    <w:rsid w:val="0C484EEE"/>
    <w:rsid w:val="2EBC5FA7"/>
    <w:rsid w:val="58B42E47"/>
    <w:rsid w:val="6B011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1952</Words>
  <Characters>2416</Characters>
  <Lines>0</Lines>
  <Paragraphs>0</Paragraphs>
  <TotalTime>0</TotalTime>
  <ScaleCrop>false</ScaleCrop>
  <LinksUpToDate>false</LinksUpToDate>
  <CharactersWithSpaces>2457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2024-08-08T02:26:00Z</dcterms:created>
  <dc:creator>忘了天空的颜色</dc:creator>
  <cp:lastModifiedBy>忘了天空的颜色</cp:lastModifiedBy>
  <dcterms:modified xsi:type="dcterms:W3CDTF">2025-04-16T08:12:20Z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96F465AB6C5D4DEE83108A9FF4C3D5F8_13</vt:lpwstr>
  </property>
  <property fmtid="{D5CDD505-2E9C-101B-9397-08002B2CF9AE}" pid="4" name="KSOTemplateDocerSaveRecord">
    <vt:lpwstr>eyJoZGlkIjoiZTE1YTA5Y2Y5Y2I0NzU2ZDExMmM5ZWY5YTU1YWU0MjAiLCJ1c2VySWQiOiIzMDIxNDQ2NTUifQ==</vt:lpwstr>
  </property>
</Properties>
</file>