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OLE_LINK40"/>
      <w:bookmarkStart w:id="1" w:name="_Toc438987549"/>
      <w:bookmarkStart w:id="2" w:name="_Hlk23501351"/>
      <w:bookmarkStart w:id="3" w:name="_Toc415142861"/>
      <w:bookmarkStart w:id="4" w:name="_Toc517262917"/>
      <w:bookmarkStart w:id="5" w:name="OLE_LINK13"/>
      <w:bookmarkStart w:id="6" w:name="OLE_LINK24"/>
      <w:bookmarkStart w:id="7" w:name="_Toc453597319"/>
      <w:bookmarkStart w:id="8" w:name="_Toc418070112"/>
      <w:bookmarkStart w:id="9" w:name="_Toc481801204"/>
      <w:bookmarkStart w:id="10" w:name="OLE_LINK15"/>
      <w:bookmarkStart w:id="11" w:name="_Toc415143481"/>
      <w:bookmarkStart w:id="12" w:name="_Toc415818939"/>
      <w:bookmarkStart w:id="13" w:name="OLE_LINK39"/>
      <w:r>
        <w:rPr>
          <w:sz w:val="24"/>
        </w:rPr>
        <mc:AlternateContent>
          <mc:Choice Requires="wps">
            <w:drawing>
              <wp:anchor distT="0" distB="0" distL="114300" distR="114300" simplePos="0" relativeHeight="251661312" behindDoc="0" locked="0" layoutInCell="1" allowOverlap="1">
                <wp:simplePos x="0" y="0"/>
                <wp:positionH relativeFrom="column">
                  <wp:posOffset>255905</wp:posOffset>
                </wp:positionH>
                <wp:positionV relativeFrom="paragraph">
                  <wp:posOffset>1492250</wp:posOffset>
                </wp:positionV>
                <wp:extent cx="5761990" cy="2085975"/>
                <wp:effectExtent l="0" t="0" r="10160" b="9525"/>
                <wp:wrapNone/>
                <wp:docPr id="56" name="文本框 56"/>
                <wp:cNvGraphicFramePr/>
                <a:graphic xmlns:a="http://schemas.openxmlformats.org/drawingml/2006/main">
                  <a:graphicData uri="http://schemas.microsoft.com/office/word/2010/wordprocessingShape">
                    <wps:wsp>
                      <wps:cNvSpPr txBox="1"/>
                      <wps:spPr>
                        <a:xfrm>
                          <a:off x="1651635" y="2068195"/>
                          <a:ext cx="5761990" cy="20859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widowControl/>
                              <w:topLinePunct w:val="0"/>
                              <w:jc w:val="both"/>
                              <w:rPr>
                                <w:rFonts w:hint="eastAsia" w:ascii="宋体" w:hAnsi="宋体" w:cs="宋体"/>
                                <w:sz w:val="72"/>
                                <w:szCs w:val="72"/>
                                <w:lang w:val="en-US" w:eastAsia="zh-CN"/>
                              </w:rPr>
                            </w:pPr>
                            <w:r>
                              <w:rPr>
                                <w:rFonts w:hint="eastAsia" w:ascii="宋体" w:hAnsi="宋体" w:cs="宋体"/>
                                <w:sz w:val="72"/>
                                <w:szCs w:val="72"/>
                                <w:lang w:val="en-US" w:eastAsia="zh-CN"/>
                              </w:rPr>
                              <w:t>全球及中国双向拉伸聚乙烯 (BOPE) 薄膜</w:t>
                            </w:r>
                            <w:r>
                              <w:rPr>
                                <w:rFonts w:hint="eastAsia" w:ascii="宋体" w:hAnsi="宋体" w:cs="宋体"/>
                                <w:sz w:val="72"/>
                                <w:szCs w:val="72"/>
                                <w:lang w:val="en-US" w:eastAsia="zh-CN"/>
                              </w:rPr>
                              <w:fldChar w:fldCharType="begin"/>
                            </w:r>
                            <w:r>
                              <w:rPr>
                                <w:rFonts w:hint="eastAsia" w:ascii="宋体" w:hAnsi="宋体" w:cs="宋体"/>
                                <w:sz w:val="72"/>
                                <w:szCs w:val="72"/>
                                <w:lang w:val="en-US" w:eastAsia="zh-CN"/>
                              </w:rPr>
                              <w:instrText xml:space="preserve"> HYPERLINK "https://www.renrendoc.com/paper/299540813.html" \t "https://www.renrendoc.com/renrendoc_v1/MCBookList/_blank" </w:instrText>
                            </w:r>
                            <w:r>
                              <w:rPr>
                                <w:rFonts w:hint="eastAsia" w:ascii="宋体" w:hAnsi="宋体" w:cs="宋体"/>
                                <w:sz w:val="72"/>
                                <w:szCs w:val="72"/>
                                <w:lang w:val="en-US" w:eastAsia="zh-CN"/>
                              </w:rPr>
                              <w:fldChar w:fldCharType="separate"/>
                            </w:r>
                            <w:r>
                              <w:rPr>
                                <w:rFonts w:hint="eastAsia" w:ascii="宋体" w:hAnsi="宋体" w:cs="宋体"/>
                                <w:sz w:val="72"/>
                                <w:szCs w:val="72"/>
                                <w:lang w:val="en-US" w:eastAsia="zh-CN"/>
                              </w:rPr>
                              <w:t>行业市场份额调研报告</w:t>
                            </w:r>
                            <w:r>
                              <w:rPr>
                                <w:rFonts w:hint="eastAsia" w:ascii="宋体" w:hAnsi="宋体" w:cs="宋体"/>
                                <w:sz w:val="72"/>
                                <w:szCs w:val="72"/>
                                <w:lang w:val="en-US" w:eastAsia="zh-CN"/>
                              </w:rPr>
                              <w:fldChar w:fldCharType="end"/>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15pt;margin-top:117.5pt;height:164.25pt;width:453.7pt;z-index:251661312;mso-width-relative:page;mso-height-relative:page;" fillcolor="#FFFFFF [3201]" filled="t" stroked="f" coordsize="21600,21600" o:gfxdata="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P31&#10;RrTWAAAACgEAAA8AAAAAAAAAAQAgAAAAIgAAAGRycy9kb3ducmV2LnhtbFBLAQIUABQAAAAIAIdO&#10;4kDvo1lbXgIAAJ4EAAAOAAAAAAAAAAEAIAAAACUBAABkcnMvZTJvRG9jLnhtbFBLBQYAAAAABgAG&#10;AFkBAAD1BQAAAAA=&#10;">
                <v:fill on="t" focussize="0,0"/>
                <v:stroke on="f" weight="0.5pt"/>
                <v:imagedata o:title=""/>
                <o:lock v:ext="edit" aspectratio="f"/>
                <v:textbox>
                  <w:txbxContent>
                    <w:p>
                      <w:pPr>
                        <w:widowControl/>
                        <w:topLinePunct w:val="0"/>
                        <w:jc w:val="both"/>
                        <w:rPr>
                          <w:rFonts w:hint="eastAsia" w:ascii="宋体" w:hAnsi="宋体" w:cs="宋体"/>
                          <w:sz w:val="72"/>
                          <w:szCs w:val="72"/>
                          <w:lang w:val="en-US" w:eastAsia="zh-CN"/>
                        </w:rPr>
                      </w:pPr>
                      <w:r>
                        <w:rPr>
                          <w:rFonts w:hint="eastAsia" w:ascii="宋体" w:hAnsi="宋体" w:cs="宋体"/>
                          <w:sz w:val="72"/>
                          <w:szCs w:val="72"/>
                          <w:lang w:val="en-US" w:eastAsia="zh-CN"/>
                        </w:rPr>
                        <w:t>全球及中国双向拉伸聚乙烯 (BOPE) 薄膜</w:t>
                      </w:r>
                      <w:r>
                        <w:rPr>
                          <w:rFonts w:hint="eastAsia" w:ascii="宋体" w:hAnsi="宋体" w:cs="宋体"/>
                          <w:sz w:val="72"/>
                          <w:szCs w:val="72"/>
                          <w:lang w:val="en-US" w:eastAsia="zh-CN"/>
                        </w:rPr>
                        <w:fldChar w:fldCharType="begin"/>
                      </w:r>
                      <w:r>
                        <w:rPr>
                          <w:rFonts w:hint="eastAsia" w:ascii="宋体" w:hAnsi="宋体" w:cs="宋体"/>
                          <w:sz w:val="72"/>
                          <w:szCs w:val="72"/>
                          <w:lang w:val="en-US" w:eastAsia="zh-CN"/>
                        </w:rPr>
                        <w:instrText xml:space="preserve"> HYPERLINK "https://www.renrendoc.com/paper/299540813.html" \t "https://www.renrendoc.com/renrendoc_v1/MCBookList/_blank" </w:instrText>
                      </w:r>
                      <w:r>
                        <w:rPr>
                          <w:rFonts w:hint="eastAsia" w:ascii="宋体" w:hAnsi="宋体" w:cs="宋体"/>
                          <w:sz w:val="72"/>
                          <w:szCs w:val="72"/>
                          <w:lang w:val="en-US" w:eastAsia="zh-CN"/>
                        </w:rPr>
                        <w:fldChar w:fldCharType="separate"/>
                      </w:r>
                      <w:r>
                        <w:rPr>
                          <w:rFonts w:hint="eastAsia" w:ascii="宋体" w:hAnsi="宋体" w:cs="宋体"/>
                          <w:sz w:val="72"/>
                          <w:szCs w:val="72"/>
                          <w:lang w:val="en-US" w:eastAsia="zh-CN"/>
                        </w:rPr>
                        <w:t>行业市场份额调研报告</w:t>
                      </w:r>
                      <w:r>
                        <w:rPr>
                          <w:rFonts w:hint="eastAsia" w:ascii="宋体" w:hAnsi="宋体" w:cs="宋体"/>
                          <w:sz w:val="72"/>
                          <w:szCs w:val="72"/>
                          <w:lang w:val="en-US" w:eastAsia="zh-CN"/>
                        </w:rPr>
                        <w:fldChar w:fldCharType="end"/>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7"/>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widowControl/>
        <w:topLinePunct w:val="0"/>
        <w:spacing w:after="0"/>
        <w:rPr>
          <w:rFonts w:hint="eastAsia" w:ascii="Book Antiqua" w:hAnsi="Book Antiqua" w:cs="宋体"/>
          <w:kern w:val="0"/>
          <w:sz w:val="24"/>
          <w:szCs w:val="24"/>
        </w:rPr>
      </w:pPr>
      <w:r>
        <w:rPr>
          <w:rFonts w:ascii="Book Antiqua" w:hAnsi="Book Antiqua" w:cs="宋体"/>
          <w:kern w:val="0"/>
          <w:sz w:val="24"/>
          <w:szCs w:val="24"/>
        </w:rPr>
        <w:t>据调研团队最新报告“全球双向拉伸聚乙烯 (BOPE) 薄膜市场报告2023-2029”显示，预计2029年全球双向拉伸聚乙烯 (BOPE) 薄膜市场规模将达到8.3亿美元，未来几年年复合增长率CAGR为18.7%。</w:t>
      </w:r>
    </w:p>
    <w:p>
      <w:pPr>
        <w:pStyle w:val="148"/>
        <w:rPr>
          <w:lang w:eastAsia="zh-CN"/>
        </w:rPr>
      </w:pPr>
      <w:r>
        <w:rPr>
          <w:lang w:eastAsia="zh-CN"/>
        </w:rPr>
        <w:t>双向拉伸聚乙烯 (BOPE) 薄膜</w:t>
      </w:r>
      <w:r>
        <w:rPr>
          <w:rFonts w:hint="eastAsia"/>
          <w:lang w:eastAsia="zh-CN"/>
        </w:rPr>
        <w:t>，全球市场总体规模，预计2</w:t>
      </w:r>
      <w:r>
        <w:rPr>
          <w:lang w:eastAsia="zh-CN"/>
        </w:rPr>
        <w:t>029</w:t>
      </w:r>
      <w:r>
        <w:rPr>
          <w:rFonts w:hint="eastAsia"/>
          <w:lang w:eastAsia="zh-CN"/>
        </w:rPr>
        <w:t>年达到</w:t>
      </w:r>
      <w:r>
        <w:rPr>
          <w:lang w:eastAsia="zh-CN"/>
        </w:rPr>
        <w:t>8.3</w:t>
      </w:r>
      <w:r>
        <w:rPr>
          <w:rFonts w:hint="eastAsia"/>
          <w:lang w:eastAsia="zh-CN"/>
        </w:rPr>
        <w:t>亿美元</w:t>
      </w:r>
    </w:p>
    <w:p>
      <w:pPr>
        <w:pStyle w:val="145"/>
      </w:pPr>
      <w:r>
        <w:drawing>
          <wp:inline distT="0" distB="0" distL="0" distR="0">
            <wp:extent cx="6188710" cy="2936875"/>
            <wp:effectExtent l="0" t="0" r="2540" b="1587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143"/>
        <w:rPr>
          <w:lang w:eastAsia="zh-CN"/>
        </w:rPr>
      </w:pPr>
      <w:r>
        <w:rPr>
          <w:rFonts w:hint="eastAsia"/>
          <w:lang w:eastAsia="zh-CN"/>
        </w:rPr>
        <w:t>如上图表/数据，摘自QYResearch最新报告“全球</w:t>
      </w:r>
      <w:r>
        <w:rPr>
          <w:lang w:eastAsia="zh-CN"/>
        </w:rPr>
        <w:t>双向拉伸聚乙烯 (BOPE) 薄膜</w:t>
      </w:r>
      <w:r>
        <w:rPr>
          <w:rFonts w:hint="eastAsia"/>
          <w:lang w:eastAsia="zh-CN"/>
        </w:rPr>
        <w:t>市场研究报告2023-2029</w:t>
      </w:r>
      <w:r>
        <w:rPr>
          <w:lang w:eastAsia="zh-CN"/>
        </w:rPr>
        <w:t>.</w:t>
      </w:r>
    </w:p>
    <w:p>
      <w:pPr>
        <w:pStyle w:val="145"/>
        <w:rPr>
          <w:rFonts w:hint="eastAsia"/>
          <w:lang w:eastAsia="zh-CN"/>
        </w:rPr>
      </w:pPr>
      <w:r>
        <w:rPr>
          <w:rFonts w:hint="eastAsia"/>
          <w:lang w:eastAsia="zh-CN"/>
        </w:rPr>
        <w:t>近年来，双向拉伸聚乙烯（BOPE）薄膜市场经历了大幅增长，预计未来几年这一趋势仍将持续。BOPE 薄膜用途广泛，可用于食品包装、消费品包装、制药和工业应用等多个行业。</w:t>
      </w:r>
    </w:p>
    <w:p>
      <w:pPr>
        <w:pStyle w:val="145"/>
        <w:rPr>
          <w:lang w:eastAsia="zh-CN"/>
        </w:rPr>
      </w:pPr>
    </w:p>
    <w:p>
      <w:pPr>
        <w:pStyle w:val="145"/>
        <w:rPr>
          <w:rFonts w:hint="eastAsia"/>
          <w:lang w:eastAsia="zh-CN"/>
        </w:rPr>
      </w:pPr>
      <w:r>
        <w:rPr>
          <w:rFonts w:hint="eastAsia"/>
          <w:lang w:eastAsia="zh-CN"/>
        </w:rPr>
        <w:t>BOPE 薄膜市场的主要驱动力之一是对可持续包装解决方案的需求不断增长。与 PVC 和 BOPP 薄膜等传统包装材料相比，BOPE 薄膜具有多种优势，包括温室气体排放量更低、可回收利用率更高以及废物产生量更少。随着人们对环境问题的日益关注，越来越多的公司选择使用 BOPE 薄膜来满足其包装需求。</w:t>
      </w:r>
    </w:p>
    <w:p>
      <w:pPr>
        <w:pStyle w:val="145"/>
        <w:rPr>
          <w:lang w:eastAsia="zh-CN"/>
        </w:rPr>
      </w:pPr>
    </w:p>
    <w:p>
      <w:pPr>
        <w:pStyle w:val="145"/>
        <w:rPr>
          <w:rFonts w:hint="eastAsia"/>
          <w:lang w:eastAsia="zh-CN"/>
        </w:rPr>
      </w:pPr>
      <w:r>
        <w:rPr>
          <w:rFonts w:hint="eastAsia"/>
          <w:lang w:eastAsia="zh-CN"/>
        </w:rPr>
        <w:t>此外，电子商务和网上零售的发展也导致了包装材料需求的激增。BOPE 薄膜重量轻、柔韧性好、经久耐用，是运输和在运输过程中保护货物的理想选择。BOPE 薄膜的便利性和功能性吸引了电子商务巨头和物流公司，进一步推动了市场增长。</w:t>
      </w:r>
    </w:p>
    <w:p>
      <w:pPr>
        <w:pStyle w:val="145"/>
        <w:rPr>
          <w:lang w:eastAsia="zh-CN"/>
        </w:rPr>
      </w:pPr>
    </w:p>
    <w:p>
      <w:pPr>
        <w:pStyle w:val="145"/>
        <w:rPr>
          <w:rFonts w:hint="eastAsia"/>
          <w:lang w:eastAsia="zh-CN"/>
        </w:rPr>
      </w:pPr>
      <w:r>
        <w:rPr>
          <w:rFonts w:hint="eastAsia"/>
          <w:lang w:eastAsia="zh-CN"/>
        </w:rPr>
        <w:t>推动 BOPE 薄膜市场发展的另一个因素是消费者对便利包装的需求不断增长。BOPE 薄膜具有出色的阻隔性能，可确保包装产品的新鲜度和质量。此外，这种薄膜还具有可印刷性，允许生产商加入吸引人的设计和产品信息，从而增强对消费者的吸引力。</w:t>
      </w:r>
    </w:p>
    <w:p>
      <w:pPr>
        <w:pStyle w:val="145"/>
        <w:rPr>
          <w:lang w:eastAsia="zh-CN"/>
        </w:rPr>
      </w:pPr>
    </w:p>
    <w:p>
      <w:pPr>
        <w:pStyle w:val="145"/>
        <w:rPr>
          <w:rFonts w:hint="eastAsia"/>
          <w:lang w:eastAsia="zh-CN"/>
        </w:rPr>
      </w:pPr>
      <w:r>
        <w:rPr>
          <w:rFonts w:hint="eastAsia"/>
          <w:lang w:eastAsia="zh-CN"/>
        </w:rPr>
        <w:t>就地区趋势而言，亚太地区在 BOPE 薄膜市场中占有最大份额。该地区不断增长的人口、快速的城市化进程和不断提高的可支配收入都在刺激着对包装产品的需求。此外，中国和印度等国对可持续包装倡议的监管支持也推动了 BOPE 膜在该地区的应用。</w:t>
      </w:r>
    </w:p>
    <w:p>
      <w:pPr>
        <w:pStyle w:val="145"/>
        <w:rPr>
          <w:lang w:eastAsia="zh-CN"/>
        </w:rPr>
      </w:pPr>
    </w:p>
    <w:p>
      <w:pPr>
        <w:pStyle w:val="145"/>
        <w:rPr>
          <w:lang w:eastAsia="zh-CN"/>
        </w:rPr>
      </w:pPr>
      <w:r>
        <w:rPr>
          <w:rFonts w:hint="eastAsia"/>
          <w:lang w:eastAsia="zh-CN"/>
        </w:rPr>
        <w:t>总体而言，由于 BOPE 薄膜的可持续发展性、多功能性以及在各行各业不断扩大的应用，BOPE 薄膜市场有望在未来几年实现强劲增长。</w:t>
      </w:r>
    </w:p>
    <w:p>
      <w:pPr>
        <w:pStyle w:val="145"/>
        <w:rPr>
          <w:lang w:eastAsia="zh-CN"/>
        </w:rPr>
      </w:pPr>
    </w:p>
    <w:p>
      <w:pPr>
        <w:pStyle w:val="148"/>
        <w:rPr>
          <w:lang w:eastAsia="zh-CN"/>
        </w:rPr>
      </w:pPr>
      <w:r>
        <w:rPr>
          <w:rFonts w:hint="eastAsia"/>
          <w:lang w:eastAsia="zh-CN"/>
        </w:rPr>
        <w:t>全球</w:t>
      </w:r>
      <w:r>
        <w:rPr>
          <w:lang w:eastAsia="zh-CN"/>
        </w:rPr>
        <w:t>双向拉伸聚乙烯 (BOPE) 薄膜</w:t>
      </w:r>
      <w:r>
        <w:rPr>
          <w:rFonts w:hint="eastAsia"/>
          <w:lang w:eastAsia="zh-CN"/>
        </w:rPr>
        <w:t>市场前</w:t>
      </w:r>
      <w:r>
        <w:rPr>
          <w:lang w:eastAsia="zh-CN"/>
        </w:rPr>
        <w:t>5</w:t>
      </w:r>
      <w:r>
        <w:rPr>
          <w:rFonts w:hint="eastAsia"/>
          <w:lang w:eastAsia="zh-CN"/>
        </w:rPr>
        <w:t>强生产商排名及市场占有率（持续更新）</w:t>
      </w:r>
    </w:p>
    <w:p>
      <w:pPr>
        <w:widowControl/>
        <w:topLinePunct w:val="0"/>
        <w:spacing w:after="0"/>
        <w:jc w:val="center"/>
        <w:rPr>
          <w:rFonts w:ascii="宋体" w:hAnsi="宋体" w:cs="宋体"/>
          <w:kern w:val="0"/>
          <w:sz w:val="24"/>
          <w:szCs w:val="24"/>
        </w:rPr>
      </w:pPr>
      <w:r>
        <w:drawing>
          <wp:inline distT="0" distB="0" distL="0" distR="0">
            <wp:extent cx="6019800" cy="3390900"/>
            <wp:effectExtent l="4445" t="4445" r="14605" b="1460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rPr>
          <w:lang w:eastAsia="zh-CN"/>
        </w:rPr>
      </w:pPr>
      <w:r>
        <w:rPr>
          <w:rFonts w:hint="eastAsia"/>
          <w:lang w:eastAsia="zh-CN"/>
        </w:rPr>
        <w:t>如上图表/数据，摘自QYResearch最新报告“全球</w:t>
      </w:r>
      <w:r>
        <w:rPr>
          <w:lang w:eastAsia="zh-CN"/>
        </w:rPr>
        <w:t>双向拉伸聚乙烯 (BOPE) 薄膜</w:t>
      </w:r>
      <w:r>
        <w:rPr>
          <w:rFonts w:hint="eastAsia"/>
          <w:lang w:eastAsia="zh-CN"/>
        </w:rPr>
        <w:t>市场研究报告2023-2029</w:t>
      </w:r>
      <w:r>
        <w:rPr>
          <w:lang w:eastAsia="zh-CN"/>
        </w:rPr>
        <w:t>.</w:t>
      </w:r>
    </w:p>
    <w:p>
      <w:pPr>
        <w:widowControl/>
        <w:topLinePunct w:val="0"/>
        <w:spacing w:after="0"/>
        <w:rPr>
          <w:rFonts w:ascii="Times New Roman" w:hAnsi="Times New Roman" w:cs="Times New Roman"/>
          <w:kern w:val="0"/>
          <w:sz w:val="22"/>
          <w:szCs w:val="22"/>
        </w:rPr>
      </w:pPr>
      <w:r>
        <w:rPr>
          <w:rFonts w:ascii="Times New Roman" w:hAnsi="Times New Roman" w:cs="Times New Roman"/>
          <w:kern w:val="0"/>
          <w:sz w:val="22"/>
          <w:szCs w:val="22"/>
        </w:rPr>
        <w:t>全球范围内双向拉伸聚乙烯 (BOPE) 薄膜生产商主要包括Jindal Films、Plastchim-T AD、Guangdong Huaducheng Group、Jiangsu Caihua Packaging Group、GETTEL、Forop、Guangdong Decro、FSPG Hi-Tech、POLIVOUGA、Der Yiing Plastic等。2022年，全球前五大厂商占有大约78.0%的市场份额。</w:t>
      </w:r>
    </w:p>
    <w:p>
      <w:pPr>
        <w:pStyle w:val="145"/>
      </w:pPr>
    </w:p>
    <w:p>
      <w:pPr>
        <w:pStyle w:val="148"/>
        <w:rPr>
          <w:lang w:eastAsia="zh-CN"/>
        </w:rPr>
      </w:pPr>
      <w:r>
        <w:rPr>
          <w:lang w:eastAsia="zh-CN"/>
        </w:rPr>
        <w:t>双向拉伸聚乙烯 (BOPE) 薄膜</w:t>
      </w:r>
      <w:r>
        <w:rPr>
          <w:rFonts w:hint="eastAsia"/>
          <w:lang w:eastAsia="zh-CN"/>
        </w:rPr>
        <w:t>，全球市场规模，按产品类型细分，厚度30μm以下处于主导地位</w:t>
      </w:r>
    </w:p>
    <w:p>
      <w:pPr>
        <w:pStyle w:val="145"/>
        <w:rPr>
          <w:rFonts w:hint="eastAsia"/>
          <w:lang w:eastAsia="zh-CN"/>
        </w:rPr>
      </w:pPr>
      <w:r>
        <w:drawing>
          <wp:inline distT="0" distB="0" distL="0" distR="0">
            <wp:extent cx="6188710" cy="2922270"/>
            <wp:effectExtent l="0" t="0" r="2540" b="1143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pPr>
      <w:r>
        <w:rPr>
          <w:rFonts w:hint="eastAsia"/>
          <w:lang w:eastAsia="zh-CN"/>
        </w:rPr>
        <w:t>如上图表/数据，摘自QYResearch最新报告“</w:t>
      </w:r>
      <w:r>
        <w:rPr>
          <w:rFonts w:hint="eastAsia"/>
        </w:rPr>
        <w:t>全球</w:t>
      </w:r>
      <w:r>
        <w:t>双向拉伸聚乙烯 (BOPE) 薄膜</w:t>
      </w:r>
      <w:r>
        <w:rPr>
          <w:rFonts w:hint="eastAsia"/>
        </w:rPr>
        <w:t>市场研究报告2023-2029</w:t>
      </w:r>
      <w:r>
        <w:t>.</w:t>
      </w:r>
    </w:p>
    <w:p>
      <w:pPr>
        <w:widowControl/>
        <w:topLinePunct w:val="0"/>
        <w:spacing w:after="0"/>
        <w:rPr>
          <w:rFonts w:ascii="Book Antiqua" w:hAnsi="Book Antiqua" w:cs="宋体"/>
          <w:kern w:val="0"/>
          <w:sz w:val="22"/>
          <w:szCs w:val="22"/>
        </w:rPr>
      </w:pPr>
      <w:r>
        <w:rPr>
          <w:rFonts w:ascii="Book Antiqua" w:hAnsi="Book Antiqua" w:cs="宋体"/>
          <w:kern w:val="0"/>
          <w:sz w:val="22"/>
          <w:szCs w:val="22"/>
        </w:rPr>
        <w:t>就产品类型而言，目前厚度30μm以下是最主要的细分产品，占据大约56.8%的份额。</w:t>
      </w:r>
    </w:p>
    <w:p>
      <w:pPr>
        <w:pStyle w:val="145"/>
        <w:rPr>
          <w:lang w:val="en-US" w:eastAsia="zh-CN"/>
        </w:rPr>
      </w:pPr>
    </w:p>
    <w:p>
      <w:pPr>
        <w:pStyle w:val="148"/>
        <w:rPr>
          <w:lang w:eastAsia="zh-CN"/>
        </w:rPr>
      </w:pPr>
      <w:r>
        <w:rPr>
          <w:lang w:eastAsia="zh-CN"/>
        </w:rPr>
        <w:t>双向拉伸聚乙烯 (BOPE) 薄膜</w:t>
      </w:r>
      <w:r>
        <w:rPr>
          <w:rFonts w:hint="eastAsia"/>
          <w:lang w:eastAsia="zh-CN"/>
        </w:rPr>
        <w:t>，全球市场规模，按应用细分，</w:t>
      </w:r>
      <w:r>
        <w:rPr>
          <w:rFonts w:ascii="Book Antiqua" w:hAnsi="Book Antiqua" w:cs="宋体"/>
          <w:sz w:val="22"/>
          <w:lang w:eastAsia="zh-CN"/>
        </w:rPr>
        <w:t>食品和饮料包装</w:t>
      </w:r>
      <w:r>
        <w:rPr>
          <w:rFonts w:hint="eastAsia"/>
          <w:lang w:eastAsia="zh-CN"/>
        </w:rPr>
        <w:t>是最大的下游市场，占有</w:t>
      </w:r>
      <w:r>
        <w:rPr>
          <w:lang w:eastAsia="zh-CN"/>
        </w:rPr>
        <w:t>71.7%</w:t>
      </w:r>
      <w:r>
        <w:rPr>
          <w:rFonts w:hint="eastAsia"/>
          <w:lang w:eastAsia="zh-CN"/>
        </w:rPr>
        <w:t>份额。</w:t>
      </w:r>
    </w:p>
    <w:p>
      <w:pPr>
        <w:pStyle w:val="145"/>
      </w:pPr>
      <w:r>
        <w:drawing>
          <wp:inline distT="0" distB="0" distL="0" distR="0">
            <wp:extent cx="6188710" cy="2922270"/>
            <wp:effectExtent l="0" t="0" r="2540" b="1143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143"/>
        <w:rPr>
          <w:lang w:eastAsia="zh-CN"/>
        </w:rPr>
      </w:pPr>
      <w:r>
        <w:rPr>
          <w:rFonts w:hint="eastAsia"/>
          <w:lang w:eastAsia="zh-CN"/>
        </w:rPr>
        <w:t>如上图表/数据，摘自QYResearch最新报告“全球</w:t>
      </w:r>
      <w:r>
        <w:rPr>
          <w:lang w:eastAsia="zh-CN"/>
        </w:rPr>
        <w:t>双向拉伸聚乙烯 (BOPE) 薄膜</w:t>
      </w:r>
      <w:r>
        <w:rPr>
          <w:rFonts w:hint="eastAsia"/>
          <w:lang w:eastAsia="zh-CN"/>
        </w:rPr>
        <w:t>市场研究报告2023-2029</w:t>
      </w:r>
      <w:r>
        <w:rPr>
          <w:lang w:eastAsia="zh-CN"/>
        </w:rPr>
        <w:t>.</w:t>
      </w:r>
    </w:p>
    <w:p>
      <w:pPr>
        <w:widowControl/>
        <w:topLinePunct w:val="0"/>
        <w:spacing w:after="0"/>
        <w:rPr>
          <w:rFonts w:ascii="Book Antiqua" w:hAnsi="Book Antiqua" w:cs="宋体"/>
          <w:kern w:val="0"/>
          <w:sz w:val="22"/>
          <w:szCs w:val="22"/>
        </w:rPr>
      </w:pPr>
      <w:r>
        <w:rPr>
          <w:rFonts w:ascii="Book Antiqua" w:hAnsi="Book Antiqua" w:cs="宋体"/>
          <w:kern w:val="0"/>
          <w:sz w:val="22"/>
          <w:szCs w:val="22"/>
        </w:rPr>
        <w:t>就产品应用而言，目前食品和饮料包装是最主要的需求来源，占据大约71.7%的份额。</w:t>
      </w:r>
    </w:p>
    <w:p>
      <w:pPr>
        <w:pStyle w:val="148"/>
        <w:rPr>
          <w:lang w:eastAsia="zh-CN"/>
        </w:rPr>
      </w:pPr>
      <w:r>
        <w:rPr>
          <w:rFonts w:hint="eastAsia"/>
          <w:lang w:eastAsia="zh-CN"/>
        </w:rPr>
        <w:t>全球主要市场</w:t>
      </w:r>
      <w:r>
        <w:rPr>
          <w:lang w:eastAsia="zh-CN"/>
        </w:rPr>
        <w:t>双向拉伸聚乙烯 (BOPE) 薄膜</w:t>
      </w:r>
      <w:r>
        <w:rPr>
          <w:rFonts w:hint="eastAsia"/>
          <w:lang w:eastAsia="zh-CN"/>
        </w:rPr>
        <w:t>销量</w:t>
      </w:r>
      <w:r>
        <w:rPr>
          <w:lang w:eastAsia="zh-CN"/>
        </w:rPr>
        <w:t>分析</w:t>
      </w:r>
      <w:r>
        <w:rPr>
          <w:rFonts w:hint="eastAsia"/>
          <w:lang w:eastAsia="zh-CN"/>
        </w:rPr>
        <w:t>（</w:t>
      </w:r>
      <w:r>
        <w:rPr>
          <w:lang w:eastAsia="zh-CN"/>
        </w:rPr>
        <w:t>千吨）</w:t>
      </w:r>
    </w:p>
    <w:p>
      <w:pPr>
        <w:pStyle w:val="145"/>
        <w:rPr>
          <w:lang w:val="en-US" w:eastAsia="zh-CN"/>
        </w:rPr>
      </w:pPr>
      <w:r>
        <w:drawing>
          <wp:inline distT="0" distB="0" distL="0" distR="0">
            <wp:extent cx="6188710" cy="2922270"/>
            <wp:effectExtent l="0" t="0" r="2540" b="1143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143"/>
      </w:pPr>
      <w:r>
        <w:rPr>
          <w:rFonts w:hint="eastAsia"/>
          <w:lang w:eastAsia="zh-CN"/>
        </w:rPr>
        <w:t>如上图表/数据，摘自QYResearch最新报告“</w:t>
      </w:r>
      <w:r>
        <w:rPr>
          <w:rFonts w:hint="eastAsia"/>
        </w:rPr>
        <w:t>全球</w:t>
      </w:r>
      <w:r>
        <w:t>双向拉伸聚乙烯 (BOPE) 薄膜</w:t>
      </w:r>
      <w:r>
        <w:rPr>
          <w:rFonts w:hint="eastAsia"/>
        </w:rPr>
        <w:t>市场研究报告2023-2029</w:t>
      </w:r>
      <w:r>
        <w:t>.</w:t>
      </w:r>
    </w:p>
    <w:p>
      <w:pPr>
        <w:pStyle w:val="143"/>
      </w:pPr>
    </w:p>
    <w:p>
      <w:pPr>
        <w:pStyle w:val="145"/>
        <w:numPr>
          <w:ilvl w:val="0"/>
          <w:numId w:val="0"/>
        </w:numPr>
        <w:ind w:leftChars="0"/>
        <w:rPr>
          <w:lang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2140D77"/>
    <w:rsid w:val="023128A5"/>
    <w:rsid w:val="02A50666"/>
    <w:rsid w:val="02E3014B"/>
    <w:rsid w:val="02E76B51"/>
    <w:rsid w:val="032F27C8"/>
    <w:rsid w:val="03447D4D"/>
    <w:rsid w:val="039F62FF"/>
    <w:rsid w:val="03C816C2"/>
    <w:rsid w:val="042F016D"/>
    <w:rsid w:val="047F596D"/>
    <w:rsid w:val="04B86DCC"/>
    <w:rsid w:val="05405A2B"/>
    <w:rsid w:val="05DF20B2"/>
    <w:rsid w:val="064B395F"/>
    <w:rsid w:val="064B71E3"/>
    <w:rsid w:val="06A607F6"/>
    <w:rsid w:val="06BF1720"/>
    <w:rsid w:val="06E95DE7"/>
    <w:rsid w:val="070A2A99"/>
    <w:rsid w:val="07287ACA"/>
    <w:rsid w:val="076247AC"/>
    <w:rsid w:val="07CE3ADB"/>
    <w:rsid w:val="07E72487"/>
    <w:rsid w:val="086D0162"/>
    <w:rsid w:val="08A15138"/>
    <w:rsid w:val="095C586C"/>
    <w:rsid w:val="09735491"/>
    <w:rsid w:val="09A76BE4"/>
    <w:rsid w:val="09B40479"/>
    <w:rsid w:val="09B74C81"/>
    <w:rsid w:val="0A164C9A"/>
    <w:rsid w:val="0A413560"/>
    <w:rsid w:val="0A9D03F6"/>
    <w:rsid w:val="0AFE7196"/>
    <w:rsid w:val="0B676BC5"/>
    <w:rsid w:val="0BE3650F"/>
    <w:rsid w:val="0BF132A6"/>
    <w:rsid w:val="0C1C1B6C"/>
    <w:rsid w:val="0C26247C"/>
    <w:rsid w:val="0C3C7EA2"/>
    <w:rsid w:val="0C691C6B"/>
    <w:rsid w:val="0C946333"/>
    <w:rsid w:val="0C996F37"/>
    <w:rsid w:val="0CDE1C2A"/>
    <w:rsid w:val="0CE12BAF"/>
    <w:rsid w:val="0CE7033B"/>
    <w:rsid w:val="0D126C01"/>
    <w:rsid w:val="0D223618"/>
    <w:rsid w:val="0DAE2303"/>
    <w:rsid w:val="0E2A3E4A"/>
    <w:rsid w:val="0E550512"/>
    <w:rsid w:val="0E9C6708"/>
    <w:rsid w:val="0F5116AE"/>
    <w:rsid w:val="100B4360"/>
    <w:rsid w:val="101C7E7E"/>
    <w:rsid w:val="10231A07"/>
    <w:rsid w:val="103A162C"/>
    <w:rsid w:val="105A40DF"/>
    <w:rsid w:val="1087172B"/>
    <w:rsid w:val="10A04854"/>
    <w:rsid w:val="111D76A0"/>
    <w:rsid w:val="113605CA"/>
    <w:rsid w:val="118A2253"/>
    <w:rsid w:val="11930964"/>
    <w:rsid w:val="11F2677F"/>
    <w:rsid w:val="121421B7"/>
    <w:rsid w:val="12920887"/>
    <w:rsid w:val="12A32D1F"/>
    <w:rsid w:val="12B442BF"/>
    <w:rsid w:val="12D2386F"/>
    <w:rsid w:val="132135EE"/>
    <w:rsid w:val="132E0705"/>
    <w:rsid w:val="13453BAE"/>
    <w:rsid w:val="13573AC8"/>
    <w:rsid w:val="14601D7C"/>
    <w:rsid w:val="1467609A"/>
    <w:rsid w:val="14DF00CB"/>
    <w:rsid w:val="15391A5F"/>
    <w:rsid w:val="156712A9"/>
    <w:rsid w:val="15A62093"/>
    <w:rsid w:val="161C3356"/>
    <w:rsid w:val="161D5555"/>
    <w:rsid w:val="161E2FD6"/>
    <w:rsid w:val="166C0B57"/>
    <w:rsid w:val="16722A60"/>
    <w:rsid w:val="170809D5"/>
    <w:rsid w:val="171325EA"/>
    <w:rsid w:val="17263809"/>
    <w:rsid w:val="174775C1"/>
    <w:rsid w:val="17826121"/>
    <w:rsid w:val="18052E77"/>
    <w:rsid w:val="18147C0E"/>
    <w:rsid w:val="182A5635"/>
    <w:rsid w:val="184461DF"/>
    <w:rsid w:val="191861B7"/>
    <w:rsid w:val="197444C3"/>
    <w:rsid w:val="19D133E7"/>
    <w:rsid w:val="19E67B09"/>
    <w:rsid w:val="1A302507"/>
    <w:rsid w:val="1A3A7593"/>
    <w:rsid w:val="1A6900E2"/>
    <w:rsid w:val="1AE01026"/>
    <w:rsid w:val="1B061265"/>
    <w:rsid w:val="1B2C5C22"/>
    <w:rsid w:val="1B415BC7"/>
    <w:rsid w:val="1B6E410D"/>
    <w:rsid w:val="1BD702B9"/>
    <w:rsid w:val="1C5A0892"/>
    <w:rsid w:val="1C8D7DE8"/>
    <w:rsid w:val="1CB26D23"/>
    <w:rsid w:val="1CD736DF"/>
    <w:rsid w:val="1D120041"/>
    <w:rsid w:val="1D1C50CD"/>
    <w:rsid w:val="1D517B25"/>
    <w:rsid w:val="1DAD243E"/>
    <w:rsid w:val="1DB37BCA"/>
    <w:rsid w:val="1DBC2A58"/>
    <w:rsid w:val="1DD1717A"/>
    <w:rsid w:val="1E264686"/>
    <w:rsid w:val="1E6F24FC"/>
    <w:rsid w:val="1EEF62CD"/>
    <w:rsid w:val="1F6A5C17"/>
    <w:rsid w:val="1F990CE4"/>
    <w:rsid w:val="20404975"/>
    <w:rsid w:val="20664BB5"/>
    <w:rsid w:val="207D005D"/>
    <w:rsid w:val="2085546A"/>
    <w:rsid w:val="20D506EC"/>
    <w:rsid w:val="20ED3B94"/>
    <w:rsid w:val="211D68E2"/>
    <w:rsid w:val="213D6E16"/>
    <w:rsid w:val="214210A0"/>
    <w:rsid w:val="216215D5"/>
    <w:rsid w:val="218E591C"/>
    <w:rsid w:val="21C42573"/>
    <w:rsid w:val="224E6C54"/>
    <w:rsid w:val="229E7CD7"/>
    <w:rsid w:val="229F5759"/>
    <w:rsid w:val="22D20532"/>
    <w:rsid w:val="236D70AB"/>
    <w:rsid w:val="24356AF4"/>
    <w:rsid w:val="243B67FF"/>
    <w:rsid w:val="24710ED7"/>
    <w:rsid w:val="247F3A70"/>
    <w:rsid w:val="250F7ADC"/>
    <w:rsid w:val="25AE4162"/>
    <w:rsid w:val="25B22B68"/>
    <w:rsid w:val="26126405"/>
    <w:rsid w:val="26290229"/>
    <w:rsid w:val="265B761D"/>
    <w:rsid w:val="266723B6"/>
    <w:rsid w:val="27054714"/>
    <w:rsid w:val="27372964"/>
    <w:rsid w:val="28210363"/>
    <w:rsid w:val="28696559"/>
    <w:rsid w:val="286F5EE4"/>
    <w:rsid w:val="28E41726"/>
    <w:rsid w:val="28EF7AB7"/>
    <w:rsid w:val="28F57442"/>
    <w:rsid w:val="296341F3"/>
    <w:rsid w:val="299E43D8"/>
    <w:rsid w:val="29AF6870"/>
    <w:rsid w:val="29DC643B"/>
    <w:rsid w:val="29FD43F1"/>
    <w:rsid w:val="2A5218FD"/>
    <w:rsid w:val="2A7478B3"/>
    <w:rsid w:val="2A8113B0"/>
    <w:rsid w:val="2B956A91"/>
    <w:rsid w:val="2C06004A"/>
    <w:rsid w:val="2C2C2488"/>
    <w:rsid w:val="2C80668E"/>
    <w:rsid w:val="2C856399"/>
    <w:rsid w:val="2D090B71"/>
    <w:rsid w:val="2D373C3F"/>
    <w:rsid w:val="2D855F3C"/>
    <w:rsid w:val="2D9A265E"/>
    <w:rsid w:val="2DC35A21"/>
    <w:rsid w:val="2E3737E1"/>
    <w:rsid w:val="2E807459"/>
    <w:rsid w:val="2E8D2EEB"/>
    <w:rsid w:val="2E9D6A09"/>
    <w:rsid w:val="2EB2312B"/>
    <w:rsid w:val="2ED33660"/>
    <w:rsid w:val="2EF9001C"/>
    <w:rsid w:val="2EFA1321"/>
    <w:rsid w:val="2F107C41"/>
    <w:rsid w:val="2F7431E9"/>
    <w:rsid w:val="2FA6143A"/>
    <w:rsid w:val="2FBF4562"/>
    <w:rsid w:val="300B6BE0"/>
    <w:rsid w:val="3030139E"/>
    <w:rsid w:val="30711E07"/>
    <w:rsid w:val="30A844DF"/>
    <w:rsid w:val="31586882"/>
    <w:rsid w:val="318F6D5C"/>
    <w:rsid w:val="31BC43A8"/>
    <w:rsid w:val="31BD1E29"/>
    <w:rsid w:val="31C02DAE"/>
    <w:rsid w:val="31CE7B45"/>
    <w:rsid w:val="31EF007A"/>
    <w:rsid w:val="327B56DF"/>
    <w:rsid w:val="32915685"/>
    <w:rsid w:val="32925305"/>
    <w:rsid w:val="33301D0B"/>
    <w:rsid w:val="333A261A"/>
    <w:rsid w:val="33995EB7"/>
    <w:rsid w:val="33A96152"/>
    <w:rsid w:val="33CF4D0C"/>
    <w:rsid w:val="347B64AA"/>
    <w:rsid w:val="34945D4F"/>
    <w:rsid w:val="34A64D70"/>
    <w:rsid w:val="34D15BB4"/>
    <w:rsid w:val="34ED1C61"/>
    <w:rsid w:val="354E0A01"/>
    <w:rsid w:val="35650626"/>
    <w:rsid w:val="35684E2E"/>
    <w:rsid w:val="357A05CB"/>
    <w:rsid w:val="35AF77A0"/>
    <w:rsid w:val="36840A7D"/>
    <w:rsid w:val="36A9323B"/>
    <w:rsid w:val="3733539E"/>
    <w:rsid w:val="38232AA8"/>
    <w:rsid w:val="382E3037"/>
    <w:rsid w:val="38356245"/>
    <w:rsid w:val="385A0A04"/>
    <w:rsid w:val="389030DC"/>
    <w:rsid w:val="38CB7A3E"/>
    <w:rsid w:val="38E70267"/>
    <w:rsid w:val="38E96FEE"/>
    <w:rsid w:val="38F85F83"/>
    <w:rsid w:val="38FB278B"/>
    <w:rsid w:val="393D6A78"/>
    <w:rsid w:val="39440601"/>
    <w:rsid w:val="39833969"/>
    <w:rsid w:val="398D7AFC"/>
    <w:rsid w:val="399248BD"/>
    <w:rsid w:val="39984266"/>
    <w:rsid w:val="39AE2B63"/>
    <w:rsid w:val="39CE0565"/>
    <w:rsid w:val="39E11784"/>
    <w:rsid w:val="39F13F9D"/>
    <w:rsid w:val="3A02553C"/>
    <w:rsid w:val="3A522D3D"/>
    <w:rsid w:val="3A572A48"/>
    <w:rsid w:val="3A733271"/>
    <w:rsid w:val="3AC37B79"/>
    <w:rsid w:val="3B541666"/>
    <w:rsid w:val="3BAF51F7"/>
    <w:rsid w:val="3C9A0678"/>
    <w:rsid w:val="3CC92C1C"/>
    <w:rsid w:val="3CEF5B84"/>
    <w:rsid w:val="3CF93F15"/>
    <w:rsid w:val="3D681FCA"/>
    <w:rsid w:val="3D6F51D8"/>
    <w:rsid w:val="3D947997"/>
    <w:rsid w:val="3DAD2ABF"/>
    <w:rsid w:val="3DD50400"/>
    <w:rsid w:val="3DFB283E"/>
    <w:rsid w:val="3E025A4C"/>
    <w:rsid w:val="3E1C65F6"/>
    <w:rsid w:val="3E2171FA"/>
    <w:rsid w:val="3E9704BE"/>
    <w:rsid w:val="3F2D1CB6"/>
    <w:rsid w:val="3F721126"/>
    <w:rsid w:val="3F8F64D8"/>
    <w:rsid w:val="3F9F0CF0"/>
    <w:rsid w:val="4000420D"/>
    <w:rsid w:val="40202543"/>
    <w:rsid w:val="407441CC"/>
    <w:rsid w:val="40D31FE7"/>
    <w:rsid w:val="4222518C"/>
    <w:rsid w:val="425311DE"/>
    <w:rsid w:val="42677E7F"/>
    <w:rsid w:val="43212B30"/>
    <w:rsid w:val="436E2C30"/>
    <w:rsid w:val="437525BA"/>
    <w:rsid w:val="439E377F"/>
    <w:rsid w:val="43A7080B"/>
    <w:rsid w:val="441B2D48"/>
    <w:rsid w:val="443F5506"/>
    <w:rsid w:val="44757F5F"/>
    <w:rsid w:val="44E0180C"/>
    <w:rsid w:val="45433AAF"/>
    <w:rsid w:val="456F5BF8"/>
    <w:rsid w:val="45921630"/>
    <w:rsid w:val="45AA4758"/>
    <w:rsid w:val="45D27E9B"/>
    <w:rsid w:val="460B12FA"/>
    <w:rsid w:val="46136706"/>
    <w:rsid w:val="4622569C"/>
    <w:rsid w:val="462369A1"/>
    <w:rsid w:val="46845740"/>
    <w:rsid w:val="46DA06CE"/>
    <w:rsid w:val="46F91E7C"/>
    <w:rsid w:val="473D2970"/>
    <w:rsid w:val="477F6C5D"/>
    <w:rsid w:val="485D4FC6"/>
    <w:rsid w:val="48847404"/>
    <w:rsid w:val="488B4811"/>
    <w:rsid w:val="48F77743"/>
    <w:rsid w:val="494574C2"/>
    <w:rsid w:val="494F7DD2"/>
    <w:rsid w:val="49A565E2"/>
    <w:rsid w:val="4A4A12EF"/>
    <w:rsid w:val="4A4D7CF5"/>
    <w:rsid w:val="4A6E3AAD"/>
    <w:rsid w:val="4AE56F6F"/>
    <w:rsid w:val="4B427308"/>
    <w:rsid w:val="4B4E7897"/>
    <w:rsid w:val="4B812670"/>
    <w:rsid w:val="4B8D6483"/>
    <w:rsid w:val="4B9F639D"/>
    <w:rsid w:val="4C054E48"/>
    <w:rsid w:val="4C537145"/>
    <w:rsid w:val="4C5D32D8"/>
    <w:rsid w:val="4CD63E9B"/>
    <w:rsid w:val="4CF3124D"/>
    <w:rsid w:val="4D686C8D"/>
    <w:rsid w:val="4DA25B6E"/>
    <w:rsid w:val="4DFF2684"/>
    <w:rsid w:val="4E1103A0"/>
    <w:rsid w:val="4FA82A40"/>
    <w:rsid w:val="4FED442E"/>
    <w:rsid w:val="4FF108B5"/>
    <w:rsid w:val="5074340D"/>
    <w:rsid w:val="508942AC"/>
    <w:rsid w:val="508A77AF"/>
    <w:rsid w:val="508F1A38"/>
    <w:rsid w:val="50F25EDA"/>
    <w:rsid w:val="50FD7AEE"/>
    <w:rsid w:val="511C03A3"/>
    <w:rsid w:val="51656219"/>
    <w:rsid w:val="51804844"/>
    <w:rsid w:val="51AC698D"/>
    <w:rsid w:val="51ED73F6"/>
    <w:rsid w:val="525D67B1"/>
    <w:rsid w:val="52817C6A"/>
    <w:rsid w:val="52D41C73"/>
    <w:rsid w:val="53121757"/>
    <w:rsid w:val="53362C11"/>
    <w:rsid w:val="53AB3ED4"/>
    <w:rsid w:val="54077B7B"/>
    <w:rsid w:val="540939FA"/>
    <w:rsid w:val="546A778A"/>
    <w:rsid w:val="547C2F28"/>
    <w:rsid w:val="54AD6F7A"/>
    <w:rsid w:val="54D87DBE"/>
    <w:rsid w:val="5510379B"/>
    <w:rsid w:val="551769A9"/>
    <w:rsid w:val="554503F2"/>
    <w:rsid w:val="554561F4"/>
    <w:rsid w:val="554716F7"/>
    <w:rsid w:val="55671C2C"/>
    <w:rsid w:val="55902DF0"/>
    <w:rsid w:val="55FA4A1E"/>
    <w:rsid w:val="560A4CB8"/>
    <w:rsid w:val="5651542C"/>
    <w:rsid w:val="56761DE9"/>
    <w:rsid w:val="56925E96"/>
    <w:rsid w:val="56B70654"/>
    <w:rsid w:val="56F10111"/>
    <w:rsid w:val="57316C99"/>
    <w:rsid w:val="57391B27"/>
    <w:rsid w:val="574B7843"/>
    <w:rsid w:val="57805B1E"/>
    <w:rsid w:val="57AD4064"/>
    <w:rsid w:val="585F1909"/>
    <w:rsid w:val="58A77AFF"/>
    <w:rsid w:val="58BA45A1"/>
    <w:rsid w:val="58C838B7"/>
    <w:rsid w:val="58C93537"/>
    <w:rsid w:val="590A5625"/>
    <w:rsid w:val="591D6844"/>
    <w:rsid w:val="59227449"/>
    <w:rsid w:val="59292657"/>
    <w:rsid w:val="598516EC"/>
    <w:rsid w:val="59943F04"/>
    <w:rsid w:val="59F70726"/>
    <w:rsid w:val="5A5874C6"/>
    <w:rsid w:val="5A7979FA"/>
    <w:rsid w:val="5A897C95"/>
    <w:rsid w:val="5AE738B1"/>
    <w:rsid w:val="5BCD41FA"/>
    <w:rsid w:val="5C140AA0"/>
    <w:rsid w:val="5C2A2C44"/>
    <w:rsid w:val="5CF4010E"/>
    <w:rsid w:val="5CF94596"/>
    <w:rsid w:val="5D0C1038"/>
    <w:rsid w:val="5D514C25"/>
    <w:rsid w:val="5E074753"/>
    <w:rsid w:val="5E363F9E"/>
    <w:rsid w:val="5E5F7360"/>
    <w:rsid w:val="5EE42E3D"/>
    <w:rsid w:val="5EEC0249"/>
    <w:rsid w:val="5F245E25"/>
    <w:rsid w:val="5F3176B9"/>
    <w:rsid w:val="5F6B1E1C"/>
    <w:rsid w:val="5F8A104C"/>
    <w:rsid w:val="5FBF6023"/>
    <w:rsid w:val="5FDF73FB"/>
    <w:rsid w:val="60060996"/>
    <w:rsid w:val="60534318"/>
    <w:rsid w:val="608060E1"/>
    <w:rsid w:val="60B146B2"/>
    <w:rsid w:val="60C36BF4"/>
    <w:rsid w:val="61227E69"/>
    <w:rsid w:val="615E224C"/>
    <w:rsid w:val="61A62640"/>
    <w:rsid w:val="62502AD9"/>
    <w:rsid w:val="62AE2E73"/>
    <w:rsid w:val="62C01E93"/>
    <w:rsid w:val="62C06610"/>
    <w:rsid w:val="633F4960"/>
    <w:rsid w:val="639F01FD"/>
    <w:rsid w:val="63D92960"/>
    <w:rsid w:val="63E663F3"/>
    <w:rsid w:val="640843A9"/>
    <w:rsid w:val="64112ABA"/>
    <w:rsid w:val="648B4982"/>
    <w:rsid w:val="64AF38BD"/>
    <w:rsid w:val="650D74DA"/>
    <w:rsid w:val="65811A17"/>
    <w:rsid w:val="662A0BAB"/>
    <w:rsid w:val="66647A8B"/>
    <w:rsid w:val="66BC5F1C"/>
    <w:rsid w:val="66D222BD"/>
    <w:rsid w:val="67600C28"/>
    <w:rsid w:val="6777664F"/>
    <w:rsid w:val="6889198F"/>
    <w:rsid w:val="691C697F"/>
    <w:rsid w:val="696D5485"/>
    <w:rsid w:val="69837628"/>
    <w:rsid w:val="69880C71"/>
    <w:rsid w:val="69AB2D6B"/>
    <w:rsid w:val="69FF27F5"/>
    <w:rsid w:val="6AB4579C"/>
    <w:rsid w:val="6AC14AB2"/>
    <w:rsid w:val="6AD050CC"/>
    <w:rsid w:val="6B026BA0"/>
    <w:rsid w:val="6B046820"/>
    <w:rsid w:val="6B1D51CB"/>
    <w:rsid w:val="6B213BD1"/>
    <w:rsid w:val="6BEE7AA2"/>
    <w:rsid w:val="6C08064C"/>
    <w:rsid w:val="6C974A38"/>
    <w:rsid w:val="6CC07DFA"/>
    <w:rsid w:val="6CDE15A9"/>
    <w:rsid w:val="6CE1026C"/>
    <w:rsid w:val="6D0475EA"/>
    <w:rsid w:val="6D0B49F7"/>
    <w:rsid w:val="6D282CA2"/>
    <w:rsid w:val="6D7A7229"/>
    <w:rsid w:val="6D891A42"/>
    <w:rsid w:val="6E4E2A84"/>
    <w:rsid w:val="6EB3022A"/>
    <w:rsid w:val="6F21085E"/>
    <w:rsid w:val="6F32657A"/>
    <w:rsid w:val="6F6438D1"/>
    <w:rsid w:val="6F9D14AD"/>
    <w:rsid w:val="700468D2"/>
    <w:rsid w:val="706C4FFD"/>
    <w:rsid w:val="70CE7620"/>
    <w:rsid w:val="70EA114F"/>
    <w:rsid w:val="71062FFD"/>
    <w:rsid w:val="71791CB7"/>
    <w:rsid w:val="71F44E84"/>
    <w:rsid w:val="72414F83"/>
    <w:rsid w:val="72492390"/>
    <w:rsid w:val="726A4AC3"/>
    <w:rsid w:val="7271444E"/>
    <w:rsid w:val="72BA00C5"/>
    <w:rsid w:val="73357A0F"/>
    <w:rsid w:val="73376795"/>
    <w:rsid w:val="73586CCA"/>
    <w:rsid w:val="73651863"/>
    <w:rsid w:val="739E3BBB"/>
    <w:rsid w:val="73D44095"/>
    <w:rsid w:val="73E00E2F"/>
    <w:rsid w:val="741E320F"/>
    <w:rsid w:val="74BF2D99"/>
    <w:rsid w:val="74C64922"/>
    <w:rsid w:val="74D900BF"/>
    <w:rsid w:val="74F963F6"/>
    <w:rsid w:val="75286F45"/>
    <w:rsid w:val="7537175E"/>
    <w:rsid w:val="755D199D"/>
    <w:rsid w:val="756B2EB1"/>
    <w:rsid w:val="75D4705E"/>
    <w:rsid w:val="75DE31F0"/>
    <w:rsid w:val="76365DFD"/>
    <w:rsid w:val="76377102"/>
    <w:rsid w:val="76C30EE4"/>
    <w:rsid w:val="76E44C9C"/>
    <w:rsid w:val="77A26354"/>
    <w:rsid w:val="780D5A03"/>
    <w:rsid w:val="78574EC9"/>
    <w:rsid w:val="787466AD"/>
    <w:rsid w:val="78967EE6"/>
    <w:rsid w:val="793144E1"/>
    <w:rsid w:val="79AA6729"/>
    <w:rsid w:val="79E10E02"/>
    <w:rsid w:val="7A4024A0"/>
    <w:rsid w:val="7AC62379"/>
    <w:rsid w:val="7AED003A"/>
    <w:rsid w:val="7B540CE3"/>
    <w:rsid w:val="7B716095"/>
    <w:rsid w:val="7B7C4426"/>
    <w:rsid w:val="7BA41D67"/>
    <w:rsid w:val="7C1977A8"/>
    <w:rsid w:val="7C99137B"/>
    <w:rsid w:val="7C9D7D81"/>
    <w:rsid w:val="7CDF626C"/>
    <w:rsid w:val="7D2953E6"/>
    <w:rsid w:val="7D817FF3"/>
    <w:rsid w:val="7DE7321B"/>
    <w:rsid w:val="7DFC793D"/>
    <w:rsid w:val="7E261E06"/>
    <w:rsid w:val="7E734104"/>
    <w:rsid w:val="7E990AC0"/>
    <w:rsid w:val="7EBB22FA"/>
    <w:rsid w:val="7F0439F3"/>
    <w:rsid w:val="7F0B7AFA"/>
    <w:rsid w:val="7F107805"/>
    <w:rsid w:val="7F1C10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4" Type="http://schemas.microsoft.com/office/2011/relationships/chartColorStyle" Target="colors3.xml"/><Relationship Id="rId3" Type="http://schemas.microsoft.com/office/2011/relationships/chartStyle" Target="style3.xml"/><Relationship Id="rId2" Type="http://schemas.openxmlformats.org/officeDocument/2006/relationships/chartUserShapes" Target="../drawings/drawing1.xml"/><Relationship Id="rId1" Type="http://schemas.openxmlformats.org/officeDocument/2006/relationships/oleObject" Target="file:///C:\Users\lenovo\Desktop\&#23459;&#20256;&#26448;&#26009;\&#35266;&#28857;&#25968;&#25454;&#22270;&#34920;&#27169;&#26495;-&#27169;&#26495;%2020231106.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lenovo\Desktop\&#23459;&#20256;&#26448;&#26009;\&#35266;&#28857;&#25968;&#25454;&#22270;&#34920;&#27169;&#26495;-&#27169;&#26495;%2020231106.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lenovo\Desktop\&#23459;&#20256;&#26448;&#26009;\&#35266;&#28857;&#25968;&#25454;&#22270;&#34920;&#27169;&#26495;-&#27169;&#26495;%2020231106.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lenovo\Desktop\&#23459;&#20256;&#26448;&#26009;\&#35266;&#28857;&#25968;&#25454;&#22270;&#34920;&#27169;&#26495;-&#27169;&#26495;%2020231106.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lenovo\Desktop\&#23459;&#20256;&#26448;&#26009;\&#35266;&#28857;&#25968;&#25454;&#22270;&#34920;&#27169;&#26495;-&#27169;&#26495;%2020231106.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en-US" altLang="zh-CN" sz="1100">
                <a:latin typeface="Book Antiqua" panose="02040602050305030304" pitchFamily="1" charset="0"/>
              </a:rPr>
              <a:t>Global Market Size ($ Mn)</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71.85</c:v>
                </c:pt>
                <c:pt idx="1">
                  <c:v>266.63</c:v>
                </c:pt>
                <c:pt idx="2">
                  <c:v>830.13</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企业收入!$M$1</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企业收入!$L$2:$L$7</c:f>
              <c:strCache>
                <c:ptCount val="6"/>
                <c:pt idx="0">
                  <c:v>Jindal Films</c:v>
                </c:pt>
                <c:pt idx="1">
                  <c:v>Plastchim-T AD</c:v>
                </c:pt>
                <c:pt idx="2">
                  <c:v>Guangdong Huaducheng Group</c:v>
                </c:pt>
                <c:pt idx="3">
                  <c:v>Jiangsu Caihua Packaging Group</c:v>
                </c:pt>
                <c:pt idx="4">
                  <c:v>GETTEL</c:v>
                </c:pt>
                <c:pt idx="5">
                  <c:v>Others</c:v>
                </c:pt>
              </c:strCache>
            </c:strRef>
          </c:cat>
          <c:val>
            <c:numRef>
              <c:f>企业收入!$M$2:$M$7</c:f>
              <c:numCache>
                <c:formatCode>0%</c:formatCode>
                <c:ptCount val="6"/>
                <c:pt idx="0">
                  <c:v>0.466264111315306</c:v>
                </c:pt>
                <c:pt idx="1">
                  <c:v>0.16217229869107</c:v>
                </c:pt>
                <c:pt idx="2">
                  <c:v>0.120691595094325</c:v>
                </c:pt>
                <c:pt idx="3">
                  <c:v>0.0167273000037505</c:v>
                </c:pt>
                <c:pt idx="4">
                  <c:v>0.0163897535911188</c:v>
                </c:pt>
                <c:pt idx="5">
                  <c:v>0.217754941304429</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分类!$R$2</c:f>
              <c:strCache>
                <c:ptCount val="1"/>
                <c:pt idx="0">
                  <c:v>厚度30μm以下</c:v>
                </c:pt>
              </c:strCache>
            </c:strRef>
          </c:tx>
          <c:spPr>
            <a:solidFill>
              <a:srgbClr val="002060"/>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分类!$S$2:$AD$2</c:f>
              <c:numCache>
                <c:formatCode>0.0%</c:formatCode>
                <c:ptCount val="12"/>
                <c:pt idx="0">
                  <c:v>0.517096450939457</c:v>
                </c:pt>
                <c:pt idx="1">
                  <c:v>0.52672830471319</c:v>
                </c:pt>
                <c:pt idx="2">
                  <c:v>0.532978148509485</c:v>
                </c:pt>
                <c:pt idx="3">
                  <c:v>0.540049203448001</c:v>
                </c:pt>
                <c:pt idx="4">
                  <c:v>0.568017149983123</c:v>
                </c:pt>
                <c:pt idx="5">
                  <c:v>0.573921706799582</c:v>
                </c:pt>
                <c:pt idx="6">
                  <c:v>0.58209747049001</c:v>
                </c:pt>
                <c:pt idx="7">
                  <c:v>0.585922063408569</c:v>
                </c:pt>
                <c:pt idx="8">
                  <c:v>0.598161469248069</c:v>
                </c:pt>
                <c:pt idx="9">
                  <c:v>0.604293583733316</c:v>
                </c:pt>
                <c:pt idx="10">
                  <c:v>0.611789751917445</c:v>
                </c:pt>
                <c:pt idx="11">
                  <c:v>0.615539488393384</c:v>
                </c:pt>
              </c:numCache>
            </c:numRef>
          </c:val>
        </c:ser>
        <c:ser>
          <c:idx val="1"/>
          <c:order val="1"/>
          <c:tx>
            <c:strRef>
              <c:f>分类!$R$3</c:f>
              <c:strCache>
                <c:ptCount val="1"/>
                <c:pt idx="0">
                  <c:v>厚度30-35μm</c:v>
                </c:pt>
              </c:strCache>
            </c:strRef>
          </c:tx>
          <c:spPr>
            <a:solidFill>
              <a:schemeClr val="bg1">
                <a:lumMod val="50000"/>
              </a:schemeClr>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分类!$S$3:$AD$3</c:f>
              <c:numCache>
                <c:formatCode>0.0%</c:formatCode>
                <c:ptCount val="12"/>
                <c:pt idx="0">
                  <c:v>0.346668058455115</c:v>
                </c:pt>
                <c:pt idx="1">
                  <c:v>0.343595031055901</c:v>
                </c:pt>
                <c:pt idx="2">
                  <c:v>0.338755098102981</c:v>
                </c:pt>
                <c:pt idx="3">
                  <c:v>0.334883520632133</c:v>
                </c:pt>
                <c:pt idx="4">
                  <c:v>0.314589652327195</c:v>
                </c:pt>
                <c:pt idx="5">
                  <c:v>0.311732765298218</c:v>
                </c:pt>
                <c:pt idx="6">
                  <c:v>0.306188840905165</c:v>
                </c:pt>
                <c:pt idx="7">
                  <c:v>0.305087913638103</c:v>
                </c:pt>
                <c:pt idx="8">
                  <c:v>0.303167667351129</c:v>
                </c:pt>
                <c:pt idx="9">
                  <c:v>0.299290447103689</c:v>
                </c:pt>
                <c:pt idx="10">
                  <c:v>0.293835220192442</c:v>
                </c:pt>
                <c:pt idx="11">
                  <c:v>0.293145146904702</c:v>
                </c:pt>
              </c:numCache>
            </c:numRef>
          </c:val>
        </c:ser>
        <c:ser>
          <c:idx val="2"/>
          <c:order val="2"/>
          <c:tx>
            <c:strRef>
              <c:f>分类!$R$4</c:f>
              <c:strCache>
                <c:ptCount val="1"/>
                <c:pt idx="0">
                  <c:v>厚度35μm以上</c:v>
                </c:pt>
              </c:strCache>
            </c:strRef>
          </c:tx>
          <c:spPr>
            <a:solidFill>
              <a:srgbClr val="0070C0"/>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分类!$S$4:$AD$4</c:f>
              <c:numCache>
                <c:formatCode>0.0%</c:formatCode>
                <c:ptCount val="12"/>
                <c:pt idx="0">
                  <c:v>0.136235490605428</c:v>
                </c:pt>
                <c:pt idx="1">
                  <c:v>0.12967666423091</c:v>
                </c:pt>
                <c:pt idx="2">
                  <c:v>0.128266753387534</c:v>
                </c:pt>
                <c:pt idx="3">
                  <c:v>0.125067275919866</c:v>
                </c:pt>
                <c:pt idx="4">
                  <c:v>0.117393197689682</c:v>
                </c:pt>
                <c:pt idx="5">
                  <c:v>0.114345527902199</c:v>
                </c:pt>
                <c:pt idx="6">
                  <c:v>0.111713688604825</c:v>
                </c:pt>
                <c:pt idx="7">
                  <c:v>0.108990022953328</c:v>
                </c:pt>
                <c:pt idx="8">
                  <c:v>0.0986708634008018</c:v>
                </c:pt>
                <c:pt idx="9">
                  <c:v>0.0964159691629956</c:v>
                </c:pt>
                <c:pt idx="10">
                  <c:v>0.0943750278901129</c:v>
                </c:pt>
                <c:pt idx="11">
                  <c:v>0.0913153647019142</c:v>
                </c:pt>
              </c:numCache>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应用!$A$2</c:f>
              <c:strCache>
                <c:ptCount val="1"/>
                <c:pt idx="0">
                  <c:v>食品和饮料包装</c:v>
                </c:pt>
              </c:strCache>
            </c:strRef>
          </c:tx>
          <c:spPr>
            <a:solidFill>
              <a:srgbClr val="002060"/>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应用!$B$2:$M$2</c:f>
              <c:numCache>
                <c:formatCode>#,##0_);[Red]\(#,##0\)</c:formatCode>
                <c:ptCount val="12"/>
                <c:pt idx="0">
                  <c:v>49.1365765504608</c:v>
                </c:pt>
                <c:pt idx="1">
                  <c:v>55.6291079604357</c:v>
                </c:pt>
                <c:pt idx="2">
                  <c:v>62.426062535115</c:v>
                </c:pt>
                <c:pt idx="3">
                  <c:v>87.1344588893069</c:v>
                </c:pt>
                <c:pt idx="4">
                  <c:v>191.269703812005</c:v>
                </c:pt>
                <c:pt idx="5">
                  <c:v>212.746701911984</c:v>
                </c:pt>
                <c:pt idx="6">
                  <c:v>251.526262103499</c:v>
                </c:pt>
                <c:pt idx="7">
                  <c:v>304.775236853263</c:v>
                </c:pt>
                <c:pt idx="8">
                  <c:v>374.543162955851</c:v>
                </c:pt>
                <c:pt idx="9">
                  <c:v>444.387185639233</c:v>
                </c:pt>
                <c:pt idx="10">
                  <c:v>525.733409636422</c:v>
                </c:pt>
                <c:pt idx="11">
                  <c:v>610.970568525727</c:v>
                </c:pt>
              </c:numCache>
            </c:numRef>
          </c:val>
        </c:ser>
        <c:ser>
          <c:idx val="1"/>
          <c:order val="1"/>
          <c:tx>
            <c:strRef>
              <c:f>应用!$A$3</c:f>
              <c:strCache>
                <c:ptCount val="1"/>
                <c:pt idx="0">
                  <c:v>日用品包装</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应用!$B$3:$M$3</c:f>
              <c:numCache>
                <c:formatCode>#,##0_);[Red]\(#,##0\)</c:formatCode>
                <c:ptCount val="12"/>
                <c:pt idx="0">
                  <c:v>10.62596</c:v>
                </c:pt>
                <c:pt idx="1">
                  <c:v>12.2655085050838</c:v>
                </c:pt>
                <c:pt idx="2">
                  <c:v>14.099558079431</c:v>
                </c:pt>
                <c:pt idx="3">
                  <c:v>18.3805873569181</c:v>
                </c:pt>
                <c:pt idx="4">
                  <c:v>37.6648767402302</c:v>
                </c:pt>
                <c:pt idx="5">
                  <c:v>42.4771618828407</c:v>
                </c:pt>
                <c:pt idx="6">
                  <c:v>49.9060215180525</c:v>
                </c:pt>
                <c:pt idx="7">
                  <c:v>60.6147779547988</c:v>
                </c:pt>
                <c:pt idx="8">
                  <c:v>74.5965879134141</c:v>
                </c:pt>
                <c:pt idx="9">
                  <c:v>90.7900792211418</c:v>
                </c:pt>
                <c:pt idx="10">
                  <c:v>106.766768777609</c:v>
                </c:pt>
                <c:pt idx="11">
                  <c:v>124.501118982438</c:v>
                </c:pt>
              </c:numCache>
            </c:numRef>
          </c:val>
        </c:ser>
        <c:ser>
          <c:idx val="2"/>
          <c:order val="2"/>
          <c:tx>
            <c:strRef>
              <c:f>应用!$A$4</c:f>
              <c:strCache>
                <c:ptCount val="1"/>
                <c:pt idx="0">
                  <c:v>药品包装</c:v>
                </c:pt>
              </c:strCache>
            </c:strRef>
          </c:tx>
          <c:spPr>
            <a:solidFill>
              <a:srgbClr val="0070C0"/>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应用!$B$4:$M$4</c:f>
              <c:numCache>
                <c:formatCode>#,##0_);[Red]\(#,##0\)</c:formatCode>
                <c:ptCount val="12"/>
                <c:pt idx="0">
                  <c:v>3.65304</c:v>
                </c:pt>
                <c:pt idx="1">
                  <c:v>4.45436616944695</c:v>
                </c:pt>
                <c:pt idx="2">
                  <c:v>4.89634144246314</c:v>
                </c:pt>
                <c:pt idx="3">
                  <c:v>6.41970584041164</c:v>
                </c:pt>
                <c:pt idx="4">
                  <c:v>13.4014848552512</c:v>
                </c:pt>
                <c:pt idx="5">
                  <c:v>15.1037702012179</c:v>
                </c:pt>
                <c:pt idx="6">
                  <c:v>16.321083465411</c:v>
                </c:pt>
                <c:pt idx="7">
                  <c:v>19.0528278150609</c:v>
                </c:pt>
                <c:pt idx="8">
                  <c:v>22.3118791038265</c:v>
                </c:pt>
                <c:pt idx="9">
                  <c:v>26.4744590573924</c:v>
                </c:pt>
                <c:pt idx="10">
                  <c:v>29.0826671361533</c:v>
                </c:pt>
                <c:pt idx="11">
                  <c:v>32.2890585060622</c:v>
                </c:pt>
              </c:numCache>
            </c:numRef>
          </c:val>
        </c:ser>
        <c:ser>
          <c:idx val="3"/>
          <c:order val="3"/>
          <c:tx>
            <c:strRef>
              <c:f>应用!$A$5</c:f>
              <c:strCache>
                <c:ptCount val="1"/>
                <c:pt idx="0">
                  <c:v>新鲜农产品</c:v>
                </c:pt>
              </c:strCache>
            </c:strRef>
          </c:tx>
          <c:spPr>
            <a:solidFill>
              <a:srgbClr val="FFC000"/>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应用!$B$5:$M$5</c:f>
              <c:numCache>
                <c:formatCode>#,##0_);[Red]\(#,##0\)</c:formatCode>
                <c:ptCount val="12"/>
                <c:pt idx="0">
                  <c:v>4.24512</c:v>
                </c:pt>
                <c:pt idx="1">
                  <c:v>4.98519345026116</c:v>
                </c:pt>
                <c:pt idx="2">
                  <c:v>5.41441847413116</c:v>
                </c:pt>
                <c:pt idx="3">
                  <c:v>6.70091883273395</c:v>
                </c:pt>
                <c:pt idx="4">
                  <c:v>12.0955605482147</c:v>
                </c:pt>
                <c:pt idx="5">
                  <c:v>13.3854977814984</c:v>
                </c:pt>
                <c:pt idx="6">
                  <c:v>14.5992117794738</c:v>
                </c:pt>
                <c:pt idx="7">
                  <c:v>16.6307146336204</c:v>
                </c:pt>
                <c:pt idx="8">
                  <c:v>19.3498348987673</c:v>
                </c:pt>
                <c:pt idx="9">
                  <c:v>22.9874327070534</c:v>
                </c:pt>
                <c:pt idx="10">
                  <c:v>27.7946042356951</c:v>
                </c:pt>
                <c:pt idx="11">
                  <c:v>31.2183086634252</c:v>
                </c:pt>
              </c:numCache>
            </c:numRef>
          </c:val>
        </c:ser>
        <c:ser>
          <c:idx val="4"/>
          <c:order val="4"/>
          <c:tx>
            <c:strRef>
              <c:f>应用!$A$6</c:f>
              <c:strCache>
                <c:ptCount val="1"/>
                <c:pt idx="0">
                  <c:v>其他</c:v>
                </c:pt>
              </c:strCache>
            </c:strRef>
          </c:tx>
          <c:spPr>
            <a:solidFill>
              <a:schemeClr val="tx1">
                <a:lumMod val="65000"/>
                <a:lumOff val="35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应用!$B$6:$M$6</c:f>
              <c:numCache>
                <c:formatCode>#,##0_);[Red]\(#,##0\)</c:formatCode>
                <c:ptCount val="12"/>
                <c:pt idx="0">
                  <c:v>4.18930344953924</c:v>
                </c:pt>
                <c:pt idx="1">
                  <c:v>4.7758239147724</c:v>
                </c:pt>
                <c:pt idx="2">
                  <c:v>5.41361946885966</c:v>
                </c:pt>
                <c:pt idx="3">
                  <c:v>6.65432908062943</c:v>
                </c:pt>
                <c:pt idx="4">
                  <c:v>12.1983740442989</c:v>
                </c:pt>
                <c:pt idx="5">
                  <c:v>13.2168682224587</c:v>
                </c:pt>
                <c:pt idx="6">
                  <c:v>14.9874211335639</c:v>
                </c:pt>
                <c:pt idx="7">
                  <c:v>17.1664427432567</c:v>
                </c:pt>
                <c:pt idx="8">
                  <c:v>20.5485351281409</c:v>
                </c:pt>
                <c:pt idx="9">
                  <c:v>23.720843375179</c:v>
                </c:pt>
                <c:pt idx="10">
                  <c:v>27.7225502141204</c:v>
                </c:pt>
                <c:pt idx="11">
                  <c:v>31.1509453223476</c:v>
                </c:pt>
              </c:numCache>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 By Region, 2018 Vs 2022 VS 2029</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'地区-消费'!$AE$1</c:f>
              <c:strCache>
                <c:ptCount val="1"/>
                <c:pt idx="0">
                  <c:v>2018</c:v>
                </c:pt>
              </c:strCache>
            </c:strRef>
          </c:tx>
          <c:spPr>
            <a:solidFill>
              <a:srgbClr val="FFC000"/>
            </a:solidFill>
            <a:ln>
              <a:noFill/>
            </a:ln>
            <a:effectLst/>
          </c:spPr>
          <c:invertIfNegative val="0"/>
          <c:dLbls>
            <c:delete val="1"/>
          </c:dLbls>
          <c:cat>
            <c:strRef>
              <c:f>'地区-消费'!$AD$2:$AD$6</c:f>
              <c:strCache>
                <c:ptCount val="5"/>
                <c:pt idx="0">
                  <c:v>北美</c:v>
                </c:pt>
                <c:pt idx="1">
                  <c:v>欧洲</c:v>
                </c:pt>
                <c:pt idx="2">
                  <c:v>亚太</c:v>
                </c:pt>
                <c:pt idx="3">
                  <c:v>拉美</c:v>
                </c:pt>
                <c:pt idx="4">
                  <c:v>中东及非洲</c:v>
                </c:pt>
              </c:strCache>
            </c:strRef>
          </c:cat>
          <c:val>
            <c:numRef>
              <c:f>'地区-消费'!$AE$2:$AE$6</c:f>
              <c:numCache>
                <c:formatCode>_(* #,##0.00_);_(* \(#,##0.00\);_(* "-"??_);_(@_)</c:formatCode>
                <c:ptCount val="5"/>
                <c:pt idx="0">
                  <c:v>4.28</c:v>
                </c:pt>
                <c:pt idx="1">
                  <c:v>4.81</c:v>
                </c:pt>
                <c:pt idx="2">
                  <c:v>15.66</c:v>
                </c:pt>
                <c:pt idx="3">
                  <c:v>1.26</c:v>
                </c:pt>
                <c:pt idx="4">
                  <c:v>0.869999999999997</c:v>
                </c:pt>
              </c:numCache>
            </c:numRef>
          </c:val>
        </c:ser>
        <c:ser>
          <c:idx val="1"/>
          <c:order val="1"/>
          <c:tx>
            <c:strRef>
              <c:f>'地区-消费'!$AF$1</c:f>
              <c:strCache>
                <c:ptCount val="1"/>
                <c:pt idx="0">
                  <c:v>2022</c:v>
                </c:pt>
              </c:strCache>
            </c:strRef>
          </c:tx>
          <c:spPr>
            <a:solidFill>
              <a:schemeClr val="bg1">
                <a:lumMod val="50000"/>
              </a:schemeClr>
            </a:solidFill>
            <a:ln>
              <a:noFill/>
            </a:ln>
            <a:effectLst/>
          </c:spPr>
          <c:invertIfNegative val="0"/>
          <c:dLbls>
            <c:delete val="1"/>
          </c:dLbls>
          <c:cat>
            <c:strRef>
              <c:f>'地区-消费'!$AD$2:$AD$6</c:f>
              <c:strCache>
                <c:ptCount val="5"/>
                <c:pt idx="0">
                  <c:v>北美</c:v>
                </c:pt>
                <c:pt idx="1">
                  <c:v>欧洲</c:v>
                </c:pt>
                <c:pt idx="2">
                  <c:v>亚太</c:v>
                </c:pt>
                <c:pt idx="3">
                  <c:v>拉美</c:v>
                </c:pt>
                <c:pt idx="4">
                  <c:v>中东及非洲</c:v>
                </c:pt>
              </c:strCache>
            </c:strRef>
          </c:cat>
          <c:val>
            <c:numRef>
              <c:f>'地区-消费'!$AF$2:$AF$6</c:f>
              <c:numCache>
                <c:formatCode>_(* #,##0.00_);_(* \(#,##0.00\);_(* "-"??_);_(@_)</c:formatCode>
                <c:ptCount val="5"/>
                <c:pt idx="0">
                  <c:v>17.54</c:v>
                </c:pt>
                <c:pt idx="1">
                  <c:v>25.19</c:v>
                </c:pt>
                <c:pt idx="2">
                  <c:v>52.51</c:v>
                </c:pt>
                <c:pt idx="3">
                  <c:v>3.42</c:v>
                </c:pt>
                <c:pt idx="4">
                  <c:v>1.92</c:v>
                </c:pt>
              </c:numCache>
            </c:numRef>
          </c:val>
        </c:ser>
        <c:ser>
          <c:idx val="2"/>
          <c:order val="2"/>
          <c:tx>
            <c:strRef>
              <c:f>'地区-消费'!$AG$1</c:f>
              <c:strCache>
                <c:ptCount val="1"/>
                <c:pt idx="0">
                  <c:v>2029</c:v>
                </c:pt>
              </c:strCache>
            </c:strRef>
          </c:tx>
          <c:spPr>
            <a:solidFill>
              <a:srgbClr val="00206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'地区-消费'!$AD$2:$AD$6</c:f>
              <c:strCache>
                <c:ptCount val="5"/>
                <c:pt idx="0">
                  <c:v>北美</c:v>
                </c:pt>
                <c:pt idx="1">
                  <c:v>欧洲</c:v>
                </c:pt>
                <c:pt idx="2">
                  <c:v>亚太</c:v>
                </c:pt>
                <c:pt idx="3">
                  <c:v>拉美</c:v>
                </c:pt>
                <c:pt idx="4">
                  <c:v>中东及非洲</c:v>
                </c:pt>
              </c:strCache>
            </c:strRef>
          </c:cat>
          <c:val>
            <c:numRef>
              <c:f>'地区-消费'!$AG$2:$AG$6</c:f>
              <c:numCache>
                <c:formatCode>_(* #,##0.00_);_(* \(#,##0.00\);_(* "-"??_);_(@_)</c:formatCode>
                <c:ptCount val="5"/>
                <c:pt idx="0">
                  <c:v>55.5</c:v>
                </c:pt>
                <c:pt idx="1">
                  <c:v>86.7</c:v>
                </c:pt>
                <c:pt idx="2">
                  <c:v>263.23</c:v>
                </c:pt>
                <c:pt idx="3">
                  <c:v>10.28</c:v>
                </c:pt>
                <c:pt idx="4">
                  <c:v>4.76000000000003</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_(* #,##0.00_);_(* \(#,##0.00\);_(* &quot;-&quot;??_);_(@_)"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0.55072</cdr:x>
      <cdr:y>0.17174</cdr:y>
    </cdr:from>
    <cdr:to>
      <cdr:x>0.73057</cdr:x>
      <cdr:y>0.51416</cdr:y>
    </cdr:to>
    <cdr:grpSp>
      <cdr:nvGrpSpPr>
        <cdr:cNvPr id="2" name="组合 1"/>
        <cdr:cNvGrpSpPr/>
      </cdr:nvGrpSpPr>
      <cdr:grpSpPr xmlns:a="http://schemas.openxmlformats.org/drawingml/2006/main">
        <a:xfrm rot="439955">
          <a:off x="3408246" y="504379"/>
          <a:ext cx="1113039" cy="1005645"/>
          <a:chOff x="2859058" y="1061399"/>
          <a:chExt cx="759437" cy="826142"/>
        </a:xfrm>
        <a:solidFill>
          <a:srgbClr val="FFC000"/>
        </a:solidFill>
      </cdr:grpSpPr>
      <cdr:cxnSp>
        <cdr:nvCxnSpPr>
          <cdr:cNvPr id="3" name="直接箭头连接符 2"/>
          <cdr:cNvCxnSpPr/>
        </cdr:nvCxnSpPr>
        <cdr:spPr xmlns:a="http://schemas.openxmlformats.org/drawingml/2006/main">
          <a:xfrm xmlns:a="http://schemas.openxmlformats.org/drawingml/2006/main" rot="21160045" flipV="1">
            <a:off x="2859058" y="1061399"/>
            <a:ext cx="759437" cy="821673"/>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8649119">
            <a:off x="2854038" y="1415803"/>
            <a:ext cx="721696" cy="221779"/>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solidFill>
                  <a:sysClr val="windowText" lastClr="000000"/>
                </a:solidFill>
                <a:latin typeface="Book Antiqua" panose="02040602050305030304" pitchFamily="1" charset="0"/>
                <a:ea typeface="宋体" panose="02010600030101010101" charset="-122"/>
              </a:rPr>
              <a:t>18.69%</a:t>
            </a:r>
            <a:endParaRPr lang="zh-CN"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0.23453</cdr:x>
      <cdr:y>0.46718</cdr:y>
    </cdr:from>
    <cdr:to>
      <cdr:x>0.43167</cdr:x>
      <cdr:y>0.74636</cdr:y>
    </cdr:to>
    <cdr:grpSp>
      <cdr:nvGrpSpPr>
        <cdr:cNvPr id="5" name="组合 4"/>
        <cdr:cNvGrpSpPr/>
      </cdr:nvGrpSpPr>
      <cdr:grpSpPr xmlns:a="http://schemas.openxmlformats.org/drawingml/2006/main">
        <a:xfrm rot="1783323">
          <a:off x="1451438" y="1372049"/>
          <a:ext cx="1220042" cy="819917"/>
          <a:chOff x="3065378" y="1574118"/>
          <a:chExt cx="1010935" cy="864240"/>
        </a:xfrm>
      </cdr:grpSpPr>
      <cdr:cxnSp>
        <cdr:nvCxnSpPr>
          <cdr:cNvPr id="6" name="直接箭头连接符 5"/>
          <cdr:cNvCxnSpPr/>
        </cdr:nvCxnSpPr>
        <cdr:spPr xmlns:a="http://schemas.openxmlformats.org/drawingml/2006/main">
          <a:xfrm xmlns:a="http://schemas.openxmlformats.org/drawingml/2006/main" rot="19816677" flipV="1">
            <a:off x="3065378" y="1822248"/>
            <a:ext cx="1010935" cy="464804"/>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8584799">
            <a:off x="3125281" y="1921770"/>
            <a:ext cx="864240" cy="168936"/>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a:solidFill>
                  <a:sysClr val="windowText" lastClr="000000"/>
                </a:solidFill>
              </a:rPr>
              <a:t>38.79%</a:t>
            </a:r>
            <a:endParaRPr lang="zh-CN">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577</Words>
  <Characters>3294</Characters>
  <Lines>27</Lines>
  <Paragraphs>7</Paragraphs>
  <TotalTime>0</TotalTime>
  <ScaleCrop>false</ScaleCrop>
  <LinksUpToDate>false</LinksUpToDate>
  <CharactersWithSpaces>3864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2024-01-04T10:23:33Z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82F86E0C151D40F1A08A6D95C4C01E3D_13</vt:lpwstr>
  </property>
</Properties>
</file>