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r>
        <w:rPr>
          <w:spacing w:val="0"/>
          <w:w w:val="100"/>
          <w:position w:val="0"/>
          <w:shd w:val="clear" w:color="auto" w:fill="auto"/>
        </w:rPr>
        <w:t>资产评估师资格考试历年考试试题及解</w:t>
        <w:br/>
        <w:t>析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各项中，会使企业保本点下降的有（）。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价格下跌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销售量减少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固定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减少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贡献毛益减少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4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单位变动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减少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4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C|E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4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保本点又称“盈亏临界点”，是指企业利润为零时的销售量或销售额, 描述了企业经营收支相等、不盈不亏的状态。企业的销售收入扣减变 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以后得到贡献毛益。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保本点销售量=固定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/ （单价一单位变动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保本点销售额=单价义保本点销售量=固定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/贡献毛益率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8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从公式上可以看出固定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、单位变动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与保本点是同方向变化，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7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中国资产评估协会组织成立了资产评估准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技术委员会。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.以下关于会计的作用的说法中，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会计能提供决策有用的信息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会计能加强经营管理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会计能帮助企业考核管理层经济责任的履行情况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会计能直接减少企业的经济损失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240" w:lineRule="auto"/>
        <w:ind w:left="0" w:right="0" w:firstLine="3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【解析】：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会计利用其特有的会计核算方法，运用一定的会计程序，提供决策有 用的信息，并参与经营管理决策，提高经济效益。会计的具体作用包 括：①提供决策有用的信息；②加强经营管理，提高经济效益；③考 </w:t>
      </w:r>
      <w:r>
        <w:rPr>
          <w:color w:val="000000"/>
          <w:spacing w:val="0"/>
          <w:w w:val="100"/>
          <w:position w:val="0"/>
          <w:shd w:val="clear" w:color="auto" w:fill="auto"/>
        </w:rPr>
        <w:t>核企业管理层经济责任的履行情况。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80"/>
        </w:tabs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关于物价指数调整法的说法，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物价指数调整法不能确定更新重置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.物价指数调整法可以作为衡量复原重置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和更新重置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差异 的方法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对于购买时间较长，采用综合物价指数或高通货膨胀期设备进行物 价指数法估价，要谨慎并尽可能用其他方法校核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选取的物价指数一般为某一类产品的综合物价指数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2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采用物价指数法计算进口设备的重置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，应使用进口国的分类物 价指数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2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A|C|D|E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2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采用物价指数调整法计算设备本体的重置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，对于一些难以获得市 场价格的机器设备经常采用，使用时，应注意以下问题：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①选取的物价指数应与评估对象相配比，一般采用某一类产品的综合 物价指数，而非某个设备的物价指数。如果评估的是单台设备，该设 备的价格变动指数与这类产品的综合物价指数之间可能存在一定的 </w:t>
      </w:r>
      <w:r>
        <w:rPr>
          <w:color w:val="000000"/>
          <w:spacing w:val="0"/>
          <w:w w:val="100"/>
          <w:position w:val="0"/>
          <w:shd w:val="clear" w:color="auto" w:fill="auto"/>
        </w:rPr>
        <w:t>差异。因而，评估的该类设备数量越多，样本数量越大，整体误差将 越小。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②审查历史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的真实性。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8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③一般来讲，物价指数并不能反映技术先进性，因此，物价指数法不 能运用于确定更新重置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，也不能作为衡量复原重置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和更新重 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差异的手段。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④对于购买时间较长、采用综合物价指数或对高通货膨胀期设备进行 物价指数法评估时，资产评估专业人员应相当谨慎，并尽可能用其他 方法校核。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⑤用物价指数法计算进口设备的重置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，应使用进口国的分类物价 指数。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95"/>
        </w:tabs>
        <w:bidi w:val="0"/>
        <w:spacing w:before="0" w:after="1220" w:line="1230" w:lineRule="exact"/>
        <w:ind w:left="260" w:right="0" w:hanging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.使用寿命不确定的无形资产，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关于其减值测试说法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)o [2018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年真题]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是否进行减值测试由资产评估专业人员决定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是否进行减值测试由审计人员决定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每年都应当进行减值测试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8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无需进行减值测试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因企业合并形成的商誉和使用寿命不确定的无形资产，无论是否存在 减值迹象，每年都应当进行减值测试。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52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各项因素中，能够影响公司资本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水平的有（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通货膨胀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经营风险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筹资规模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资本市场效率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投资者态度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52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A|B|C|D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20" w:line="1252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影响公司资本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的因素包括：①总体经济环境，总体经济环境和状 态决定企业所处的国民经济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状况和水平，以及预期的通货膨胀； ②资本市场条件，即资本市场效率，资本市场效率表现为资本市场上 的资本商品的市场流动性；③企业经营状况和融资状况，经营风险的 大小与企业经营状况相关；④企业对筹资规模和时限的需求。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95"/>
        </w:tabs>
        <w:bidi w:val="0"/>
        <w:spacing w:before="0" w:after="120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.以下关于企业合并产生或有对价的说法中，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.同一控制下企业合并产生的或有对价，应按照或有事项准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的标准 判断是否应确认为预计负债或预计资产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同一控制下企业合并产生的或有对价，确认预计负债或预计资产与 后续或有对价结算金额的差额，调整其他综合收益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非同一控制下企业合并涉及或有对价的，购买方应将其作为合并转 移对价的一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，按其在购买日的公允价值计入企业合并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20" w:line="126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非同一控制下企业合并涉及或有对价的，如果在购买日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个月内 出现对购买日已存在情况的新的进一步证据</w:t>
      </w:r>
      <w:r>
        <w:rPr>
          <w:color w:val="000000"/>
          <w:spacing w:val="0"/>
          <w:w w:val="100"/>
          <w:position w:val="0"/>
          <w:shd w:val="clear" w:color="auto" w:fill="auto"/>
        </w:rPr>
        <w:t>说明</w:t>
      </w:r>
      <w:r>
        <w:rPr>
          <w:color w:val="000000"/>
          <w:spacing w:val="0"/>
          <w:w w:val="100"/>
          <w:position w:val="0"/>
          <w:shd w:val="clear" w:color="auto" w:fill="auto"/>
        </w:rPr>
        <w:t>需要调整或有对价 的，应当予以确认并对原计入合并商誉的金额进行调整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34" w:lineRule="exact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4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同一控制下企业控股合并中产生的或有对价，按照《企业会计准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第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号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或有事项》的规定，判断应就或有对价确认为预计负债或 资产，以及确认的金额；确认预计负债或资产的，该预计负债或资产 金额与后续或有对价结算金额的差额，调整资本公积（资本溢价或股 本溢价），资本公积（资本溢价或股本溢价）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冲减的，调整留存 </w:t>
      </w:r>
      <w:r>
        <w:rPr>
          <w:color w:val="000000"/>
          <w:spacing w:val="0"/>
          <w:w w:val="100"/>
          <w:position w:val="0"/>
          <w:shd w:val="clear" w:color="auto" w:fill="auto"/>
        </w:rPr>
        <w:t>收益。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95"/>
        </w:tabs>
        <w:bidi w:val="0"/>
        <w:spacing w:before="0" w:after="116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.甲企业以融资租赁方式将一台机器设备出租给乙企业，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 该租赁设备在租赁期间内会计处理的说法，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 [2018</w:t>
      </w:r>
      <w:r>
        <w:rPr>
          <w:color w:val="000000"/>
          <w:spacing w:val="0"/>
          <w:w w:val="100"/>
          <w:position w:val="0"/>
          <w:shd w:val="clear" w:color="auto" w:fill="auto"/>
        </w:rPr>
        <w:t>年 真题]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甲企业应继续对该设备计提折旧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该设备发生减值的，甲企业需计提减值准备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甲企业不应将该设备作为固定资产进行核算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甲企业只须在附注中进行披露，无需进行其他会计处理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25" w:lineRule="exact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25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根据实质重于形式的原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，应当按照交易或者事项的经济实质进行会 计确认、计量和报告。融资租出的固定资产，由承租方进行会计核算, 出租方不应作为固定资产核算，因此甲企业不应继续计提折旧、减值,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ABD</w:t>
      </w:r>
      <w:r>
        <w:rPr>
          <w:color w:val="000000"/>
          <w:spacing w:val="0"/>
          <w:w w:val="100"/>
          <w:position w:val="0"/>
          <w:shd w:val="clear" w:color="auto" w:fill="auto"/>
        </w:rPr>
        <w:t>三项错误。选择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项。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95"/>
        </w:tabs>
        <w:bidi w:val="0"/>
        <w:spacing w:before="0" w:after="1860" w:line="122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关于历史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计量的表述中，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资产按购买时支付的现金或现金等价物的金额计量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资产按购置资产是所付出对价的公允价值计量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负债按因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的现时义务的合同金额计量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负债按市场当时转移这一项债务的价格计量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43" w:lineRule="exact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3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历史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计量下，资产按照购置时支付的现金或者现金等价物的金 额，或者按照购置时所付出对价的公允价值计量。负债按照因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现 时义务而实际收到的款项或者资产的金额，或者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现时义务的合同 金额，或者按照日常活动中为</w:t>
      </w:r>
      <w:r>
        <w:rPr>
          <w:color w:val="000000"/>
          <w:spacing w:val="0"/>
          <w:w w:val="100"/>
          <w:position w:val="0"/>
          <w:shd w:val="clear" w:color="auto" w:fill="auto"/>
        </w:rPr>
        <w:t>归还</w:t>
      </w:r>
      <w:r>
        <w:rPr>
          <w:color w:val="000000"/>
          <w:spacing w:val="0"/>
          <w:w w:val="100"/>
          <w:position w:val="0"/>
          <w:shd w:val="clear" w:color="auto" w:fill="auto"/>
        </w:rPr>
        <w:t>负债预期需要支付的现金或者现金 等价物的金额计量。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10"/>
        </w:tabs>
        <w:bidi w:val="0"/>
        <w:spacing w:before="0" w:after="1800" w:line="124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.丙公司为甲、乙公司的母公司。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2018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日，甲公司以银行 存款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7000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万元取得乙公司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60%</w:t>
      </w:r>
      <w:r>
        <w:rPr>
          <w:color w:val="000000"/>
          <w:spacing w:val="0"/>
          <w:w w:val="100"/>
          <w:position w:val="0"/>
          <w:shd w:val="clear" w:color="auto" w:fill="auto"/>
        </w:rPr>
        <w:t>有表决权的股份，另以银行存款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100 </w:t>
      </w:r>
      <w:r>
        <w:rPr>
          <w:color w:val="000000"/>
          <w:spacing w:val="0"/>
          <w:w w:val="100"/>
          <w:position w:val="0"/>
          <w:shd w:val="clear" w:color="auto" w:fill="auto"/>
        </w:rPr>
        <w:t>万元支付与合并直接相关的中介费用，当日办妥相关股权划转手续 后，取得了乙公司的控制权；乙公司在丙公司合并财务报表中的净资 产账面价值为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9000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万元，商誉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万元。不考虑其他因素，甲公司 该项长期股权投资在合并日的初始投资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为（）万元。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7400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 7300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68"/>
        </w:tabs>
        <w:bidi w:val="0"/>
        <w:spacing w:before="0" w:after="0" w:line="1236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5700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5800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6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6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同一控制下企业合并，长期股权投资的初始投资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=被投资方相对 于最终控制方而言可</w:t>
      </w:r>
      <w:r>
        <w:rPr>
          <w:color w:val="000000"/>
          <w:spacing w:val="0"/>
          <w:w w:val="100"/>
          <w:position w:val="0"/>
          <w:shd w:val="clear" w:color="auto" w:fill="auto"/>
        </w:rPr>
        <w:t>识别</w:t>
      </w:r>
      <w:r>
        <w:rPr>
          <w:color w:val="000000"/>
          <w:spacing w:val="0"/>
          <w:w w:val="100"/>
          <w:position w:val="0"/>
          <w:shd w:val="clear" w:color="auto" w:fill="auto"/>
        </w:rPr>
        <w:t>净资产账面价值份额+最终控制方收购被 合并方形成的商誉=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9000 X 60% + 300 = 5700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6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.北京某房地产开发公司通过政府招标拍卖方式取得位于南三环的 一宗土地，该建设用地使用权的用途为住宅用地，按照规划要求，该 开发商需配建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30%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的公租房。根据《城市房地产管理法》的规定，该 房地产开发公司如转让该房地产，需要满足一定条件。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选项有关 该转让条件的说法，符合规定的是（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配建的公租房需全部竣工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按照出让合同约定已经支付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80%</w:t>
      </w:r>
      <w:r>
        <w:rPr>
          <w:color w:val="000000"/>
          <w:spacing w:val="0"/>
          <w:w w:val="100"/>
          <w:position w:val="0"/>
          <w:shd w:val="clear" w:color="auto" w:fill="auto"/>
        </w:rPr>
        <w:t>以上的土地使用权出让金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按照出让合同约定进行投资开发，完成开发投资总额的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25%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以上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转让房地产时房屋已经建成的，应当持有土地使用权和房屋使用权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证书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39" w:lineRule="exact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9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以出让方式取得土地使用权的，转让房地产时，应当符合的条件包括: ①按照出让合同约定已经支付全部土地使用权出让金，并取得土地使 用权证书；②按照出让合同约定进行投资开发，属于房屋建设工程的, 完成开发投资总额的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25%</w:t>
      </w:r>
      <w:r>
        <w:rPr>
          <w:color w:val="000000"/>
          <w:spacing w:val="0"/>
          <w:w w:val="100"/>
          <w:position w:val="0"/>
          <w:shd w:val="clear" w:color="auto" w:fill="auto"/>
        </w:rPr>
        <w:t>以上；属于成片开发土地的，依照规划对土 地进行开发建设，完成供排水、供电、供热、道路交通、通信等市政 基础设施、公用设施的建设，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场地平整，形成工业用地或者其他 建设用地条件。转让房地产时房屋已经建成的，还应当持有房屋所有 权证书。房地产转让时，房屋所有权和该房屋占用范围内的土地使用 权同时转让。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703"/>
        </w:tabs>
        <w:bidi w:val="0"/>
        <w:spacing w:before="0" w:after="1840" w:line="1253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.“吉芬商品”是以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世纪英国经济学家吉芬的名字命名的，“吉 芬商品”的需求曲线是（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向左上方倾斜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向右上方倾斜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向左下方倾斜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向右下方倾斜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7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7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吉芬商品收入效应的作用超过了替代效应的作用，使总效应与价格变 动方向相同，需求量与价格的变动方向相同。所以吉芬商品的需求曲 线最后呈现出向右上方倾斜的现象。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710"/>
        </w:tabs>
        <w:bidi w:val="0"/>
        <w:spacing w:before="0" w:after="1220" w:line="12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.居民企业甲公司适用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25%</w:t>
      </w:r>
      <w:r>
        <w:rPr>
          <w:color w:val="000000"/>
          <w:spacing w:val="0"/>
          <w:w w:val="100"/>
          <w:position w:val="0"/>
          <w:shd w:val="clear" w:color="auto" w:fill="auto"/>
        </w:rPr>
        <w:t>的企业所得税税率。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2017</w:t>
      </w:r>
      <w:r>
        <w:rPr>
          <w:color w:val="000000"/>
          <w:spacing w:val="0"/>
          <w:w w:val="100"/>
          <w:position w:val="0"/>
          <w:shd w:val="clear" w:color="auto" w:fill="auto"/>
        </w:rPr>
        <w:t>年，甲公司取 得符合条件的技术转让所得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万元，根据企业所得税法律制度， 甲公司该笔所得应缴纳的企业所得税税额为（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 [2018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年真题]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87.5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94"/>
        </w:tabs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175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94"/>
        </w:tabs>
        <w:bidi w:val="0"/>
        <w:spacing w:before="0" w:after="308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70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价格和贡献毛益与保本点是反方向变化，销售量对保本点没有影响，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所以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此题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答案是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CE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各项预算编制方法中，对纳入预算的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费用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必须进行成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本效益分析的是（）。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［2018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弹性预算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零基预算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滚动预算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固定预算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26" w:lineRule="exact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26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零基预算以零为起点，建立在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与效益分析的基础上。零基预算的 基本操作步骤为：确定决策单位；制定一揽子计划；进行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效益分 析，排列优先顺序；分配资源，落实预算，选择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.收益法中所指的收益是（）。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评估基准日前一年的收益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评估基准日前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干年的平均收益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2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根据规定，符合条件的技术转让所得不超过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万元的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，免征企 业所得税；超过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万元的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，减半征收企业所得税。因此该笔所 得应缴纳的企业所得税额=(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一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500 ) X 25% X 50% 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87.5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 xml:space="preserve">万元)。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 xml:space="preserve">.在完全竞争条件下，个别厂商的需求曲线是一条水平线，它表示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厂商可以通过改变销售量来影响价格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厂商只能接受市场价格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厂商通过联合来改变市场价格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.厂商通过改进生产技术，获得经济利润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41" w:lineRule="exact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1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在完全竞争市场上，每一个企业都是价格接受者，其交易价格不会随 着供给数量的变化而变化。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.根据国有资产法律制度的规定，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行为中，国家出资企业及其 各级子企业应当对相关资产进行评估的有()。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上市公司国有股东股权比例变动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收购非国有单位的资产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接收非国有单位以非货币资产抵债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产权转让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资产涉讼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6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B|C|D|E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6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根据有关规定，国家出资企业及其各级子企业有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行为之一的，应 当对相关资产进行评估：①整体或者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改建为有限责任公司或者股 份</w:t>
      </w:r>
      <w:r>
        <w:rPr>
          <w:color w:val="000000"/>
          <w:spacing w:val="0"/>
          <w:w w:val="100"/>
          <w:position w:val="0"/>
          <w:shd w:val="clear" w:color="auto" w:fill="auto"/>
        </w:rPr>
        <w:t>；②以非货币资产对外投资；③合并、分立、破产、解散; ④非上市公司国有股东股权比例变动；⑤产权转让；⑥资产转让、置 换；⑦整体资产或者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资产租赁给非国有单位；⑧以非货币资产偿 还债务；⑨资产涉讼；⑩收购非国有单位的资产；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⑪</w:t>
      </w:r>
      <w:r>
        <w:rPr>
          <w:color w:val="000000"/>
          <w:spacing w:val="0"/>
          <w:w w:val="100"/>
          <w:position w:val="0"/>
          <w:shd w:val="clear" w:color="auto" w:fill="auto"/>
        </w:rPr>
        <w:t>接受非国有单位 以非货币资产出资；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⑫</w:t>
      </w:r>
      <w:r>
        <w:rPr>
          <w:color w:val="000000"/>
          <w:spacing w:val="0"/>
          <w:w w:val="100"/>
          <w:position w:val="0"/>
          <w:shd w:val="clear" w:color="auto" w:fill="auto"/>
        </w:rPr>
        <w:t>接受非国有单位以非货币资产抵债；领去律、 行政法规规定的其他需要进行资产评估的事项。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6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.假设某基金持有的三种股票的数量分别为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万股、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万股和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90 </w:t>
      </w:r>
      <w:r>
        <w:rPr>
          <w:color w:val="000000"/>
          <w:spacing w:val="0"/>
          <w:w w:val="100"/>
          <w:position w:val="0"/>
          <w:shd w:val="clear" w:color="auto" w:fill="auto"/>
        </w:rPr>
        <w:t>万股，每股的收盘价分别为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元、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元和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元，银行存款为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1000 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万元，对托管人或管理人应付未付的报酬为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万元，应付税费为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万元，该基金总份额为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2000</w:t>
      </w:r>
      <w:r>
        <w:rPr>
          <w:color w:val="000000"/>
          <w:spacing w:val="0"/>
          <w:w w:val="100"/>
          <w:position w:val="0"/>
          <w:shd w:val="clear" w:color="auto" w:fill="auto"/>
        </w:rPr>
        <w:t>万份，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计算出基金资产净值为（） 万元。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13"/>
        </w:tabs>
        <w:bidi w:val="0"/>
        <w:spacing w:before="0" w:after="0" w:line="1240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0.95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1.9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03"/>
        </w:tabs>
        <w:bidi w:val="0"/>
        <w:spacing w:before="0" w:after="0" w:line="1240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2900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3800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40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60" w:line="1240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基金资产净值=基金资产一基金负债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20X50 + 60X30 + 90X10 + 1000-500-400 = 3800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60" w:line="12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.某设备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2012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日购置，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该设备每天工作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小时，使用 寿命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年，该设备投入使用后每天实际工作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小时，以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2018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7 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日为基准日，该设备的实体贬值率为（）。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［2018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37.5%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603"/>
        </w:tabs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30.0%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 24.0%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 31.5%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60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60" w:line="1260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资产实体性贬值率=实际已使用年限/总使用年限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X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100%=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(6X10)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/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(8X20) X100% = 37.5%o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关于资产评估工作档案的说法中，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 [2018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年真 题]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法定资产评估业务的资产评估档案保存期限不少于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资产评估专业人员通常应当在资产评估报告日后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90</w:t>
      </w:r>
      <w:r>
        <w:rPr>
          <w:color w:val="000000"/>
          <w:spacing w:val="0"/>
          <w:w w:val="100"/>
          <w:position w:val="0"/>
          <w:shd w:val="clear" w:color="auto" w:fill="auto"/>
        </w:rPr>
        <w:t>天内归集形成 评估档案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资产评估工作档案包括资产评估工作底稿、资产评估报告及其他相 关资料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特殊资产评估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形成资产评估档案的归档时限不晚于资产评估 结论使用有效期届满后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64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9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根据《资产评估法》规定，一般评估业务的评估档案保存期限不少于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年，法定评估业务的评估档案保管期限不少于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年。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710"/>
        </w:tabs>
        <w:bidi w:val="0"/>
        <w:spacing w:before="0" w:after="1200" w:line="1253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有关对资产评估机构自主管理的主要内容的选项中，错误的 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资产评估机构开展法定资产评估业务，应当指定至少两名资产评估 师承办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法定资产评估业务资产评估报告应当由一名承办业务的资产评估 师签署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资产评估机构应当指定一名取得资产评估师资格的本机构合伙人 或者股东专门负责执业质量控制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4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资产评估机构与分支机构加入资产评估协会，平等享有章程规定的 权利、履行章程规定的义务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【解析】： </w:t>
      </w:r>
      <w:r>
        <w:rPr>
          <w:color w:val="000000"/>
          <w:spacing w:val="0"/>
          <w:w w:val="100"/>
          <w:position w:val="0"/>
          <w:shd w:val="clear" w:color="auto" w:fill="auto"/>
        </w:rPr>
        <w:t>法定资产评估业务资产评估报告应当由两名以上承办业务的资产评 估师签署，并履行内部程序后加盖资产评估机构印章，资产评估机构 及签字资产评估师依法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责任。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703"/>
        </w:tabs>
        <w:bidi w:val="0"/>
        <w:spacing w:before="0" w:after="1220" w:line="1260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.在运用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法进行资产评估时，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说法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重置核算法估算的重置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仅考虑了价格变动因素，因而确定的是 复原重置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.价格指数法既考虑了价格因素，也可考虑生产技术进步和劳动生产 率的变化因素，因而可以用来估算更新重置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资产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与生产能力之间存在不存在正比例线性关系时，不可以采 用生产能力比例法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人们把非线性关系条件下的功能价值类比法称为规模经济效益指 数法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使用年限法是利用被评估资产的实际已使用年限与其总使用年限 的比值来判断其实体贬值率（程度），进而估测资产的实体性贬值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00" w:line="240" w:lineRule="auto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【解析】： </w:t>
      </w:r>
      <w:r>
        <w:rPr>
          <w:color w:val="000000"/>
          <w:spacing w:val="0"/>
          <w:w w:val="100"/>
          <w:position w:val="0"/>
          <w:shd w:val="clear" w:color="auto" w:fill="auto"/>
        </w:rPr>
        <w:t>价格指数法估算的重置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仅考虑了价格变动因素，因而确定的是复 原重置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；而重置核算法既考虑了价格因素，也可考虑生产技术进 步和劳动生产率的变化因素，因而可以用来估算更新重置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.股票评估通常与股票的（）估测有关。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内在价值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账面价值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市场价格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清算价格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票面价格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5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A|C|D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5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股票的价格包括票面价格、发行价格、账面价格、清算价格、内在价 格和市场价格。股票的价值评估通常与股票的票面价格、发行价格和 账面价格的联系并不紧密，而与股票的内在价格、清算价格和市场价 格有着较为密切的联系。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.股票的内在价值主要取决于（）。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公司的财务状况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.公司的管理水平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公司的技术开发能力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公司面临的各种风险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40" w:line="12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公司所处行业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9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A|B|C|D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9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股票的内在价值主要取决于公司的财务状况、管理水平、技术开发能 力、公司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潜力，以及公司面临的各种风险。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7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.某企业某年的财务杠杆系数为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2.5,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 xml:space="preserve">息税前利润的计划增长率为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10%，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假定其他因素不变，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该年普通股每股收益的增长率为（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40%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93"/>
        </w:tabs>
        <w:bidi w:val="0"/>
        <w:spacing w:before="0" w:after="0" w:line="1249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30%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593"/>
        </w:tabs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25%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240" w:lineRule="auto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67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财务杠杆系数=每股收益变动率+息税前利润变动率，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每股收 益增长率=财务杠杆系数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息税前利润变动率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2.5X10% = 25%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6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各项中，不属于评估委托合同通常包括的内容的是（）。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资产评估师的资格证明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合同当事人签字或者盖章的地点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评估基准日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资产评估报告提交期限和方式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240" w:lineRule="auto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2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评估委托合同通常包括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内容：①资产评估机构和委托人的名称、 住所、联系人及联系方式；②评估目的；③评估对象和评估范围；④ 评估基准日；⑤资产评估报告使用范围，包括资产评估报告使用人、 用途、评估结论的使用时效及报告的摘抄引用或披露；⑥资产评估报 </w:t>
      </w:r>
      <w:r>
        <w:rPr>
          <w:color w:val="000000"/>
          <w:spacing w:val="0"/>
          <w:w w:val="100"/>
          <w:position w:val="0"/>
          <w:shd w:val="clear" w:color="auto" w:fill="auto"/>
        </w:rPr>
        <w:t>告提交期限和方式；⑦评估服务费总额或支付标准、计价货币种类、 支付时间和方式，并明确资产评估服务费未包括的与资产评估服务相 关的其他费用的内容及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方式；⑧资产评估机构和委托人的其他权 利和义务；⑨签约各方的违约责任、合同履行过程中产生争议时解决 的方式和地点；⑩合同当事人签字或者盖章的时间；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⑪</w:t>
      </w:r>
      <w:r>
        <w:rPr>
          <w:color w:val="000000"/>
          <w:spacing w:val="0"/>
          <w:w w:val="100"/>
          <w:position w:val="0"/>
          <w:shd w:val="clear" w:color="auto" w:fill="auto"/>
        </w:rPr>
        <w:t>合同当事人签 字或者盖章的地点。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5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关于国际评估准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资产准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的说法，不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开发性不动产的评估特殊考量主要是对剩余法、拟议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、担保贷 款、财务报告的特殊考虑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采用市场途径评估不动产权益时考虑被评估资产的权益类型、各自 的地理位置、土地的质量或者房屋的使用年限和规格、每项资产的授 权使用范围、交易环境、价值类型和交易时间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开发性不动产是指以现在用途使用原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重新开发或在评估基准日 准备改善的一项权益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采用收益途径评估不动产权益价值的具体评估方法包括收入资本 化法和现金流折现法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240" w:lineRule="auto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评估基准日以后未来预期收益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评估基准日前最高盈利年份的收益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60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60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收益法是通过预测未来的收益评估对象的价值，而不是以前的收益或 者最高收益。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.根据我国《行政</w:t>
      </w:r>
      <w:r>
        <w:rPr>
          <w:color w:val="000000"/>
          <w:spacing w:val="0"/>
          <w:w w:val="100"/>
          <w:position w:val="0"/>
          <w:shd w:val="clear" w:color="auto" w:fill="auto"/>
        </w:rPr>
        <w:t>处分</w:t>
      </w:r>
      <w:r>
        <w:rPr>
          <w:color w:val="000000"/>
          <w:spacing w:val="0"/>
          <w:w w:val="100"/>
          <w:position w:val="0"/>
          <w:shd w:val="clear" w:color="auto" w:fill="auto"/>
        </w:rPr>
        <w:t>法》，从违法行为发生之日起计算，违法行为 在（）未被发现的，不再给予行政</w:t>
      </w:r>
      <w:r>
        <w:rPr>
          <w:color w:val="000000"/>
          <w:spacing w:val="0"/>
          <w:w w:val="100"/>
          <w:position w:val="0"/>
          <w:shd w:val="clear" w:color="auto" w:fill="auto"/>
        </w:rPr>
        <w:t>处分</w:t>
      </w:r>
      <w:r>
        <w:rPr>
          <w:color w:val="000000"/>
          <w:spacing w:val="0"/>
          <w:w w:val="100"/>
          <w:position w:val="0"/>
          <w:shd w:val="clear" w:color="auto" w:fill="auto"/>
        </w:rPr>
        <w:t>。法律另有规定的除外。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二年内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三年内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五年内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十年内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1260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【解析】： </w:t>
      </w:r>
      <w:r>
        <w:rPr>
          <w:color w:val="000000"/>
          <w:spacing w:val="0"/>
          <w:w w:val="100"/>
          <w:position w:val="0"/>
          <w:shd w:val="clear" w:color="auto" w:fill="auto"/>
        </w:rPr>
        <w:t>开发性不动产是指以最高</w:t>
      </w:r>
      <w:r>
        <w:rPr>
          <w:color w:val="000000"/>
          <w:spacing w:val="0"/>
          <w:w w:val="100"/>
          <w:position w:val="0"/>
          <w:shd w:val="clear" w:color="auto" w:fill="auto"/>
        </w:rPr>
        <w:t>最正确</w:t>
      </w:r>
      <w:r>
        <w:rPr>
          <w:color w:val="000000"/>
          <w:spacing w:val="0"/>
          <w:w w:val="100"/>
          <w:position w:val="0"/>
          <w:shd w:val="clear" w:color="auto" w:fill="auto"/>
        </w:rPr>
        <w:t>使用原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重新开发或在评估基准日准 备改善的一项权益。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.甲企业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2018</w:t>
      </w:r>
      <w:r>
        <w:rPr>
          <w:color w:val="000000"/>
          <w:spacing w:val="0"/>
          <w:w w:val="100"/>
          <w:position w:val="0"/>
          <w:shd w:val="clear" w:color="auto" w:fill="auto"/>
        </w:rPr>
        <w:t>年度主营业务收入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6250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万元，主营业务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4250</w:t>
      </w:r>
      <w:r>
        <w:rPr>
          <w:color w:val="000000"/>
          <w:spacing w:val="0"/>
          <w:w w:val="100"/>
          <w:position w:val="0"/>
          <w:shd w:val="clear" w:color="auto" w:fill="auto"/>
        </w:rPr>
        <w:t>万 元，其他业务收入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万元，其他业务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万元，税金及附加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115 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万元，期间费用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175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万元，公允价值变动收益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万元，投资损失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万元，处置固定资产净损失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万元，取得即征即退的增值税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100 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甲企业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年的营业利润为（）万元。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1975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1875</w:t>
      </w:r>
    </w:p>
    <w:p>
      <w:pPr>
        <w:pStyle w:val="a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585"/>
        </w:tabs>
        <w:bidi w:val="0"/>
        <w:spacing w:before="0" w:after="0" w:line="1233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1775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33" w:lineRule="exact"/>
        <w:ind w:left="0" w:right="0" w:firstLine="20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33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即征即退增值税属于与企业日常活动相关的政府补助，发生时应借记 “其他应收款”科目，贷记“其他收益”科目。营业利润=主营业务 收入一主营业务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+其他业务收入一其他业务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一税金及附加 </w:t>
      </w:r>
      <w:r>
        <w:rPr>
          <w:color w:val="000000"/>
          <w:spacing w:val="0"/>
          <w:w w:val="100"/>
          <w:position w:val="0"/>
          <w:shd w:val="clear" w:color="auto" w:fill="auto"/>
        </w:rPr>
        <w:t>—期间费用+公允价值变动损益一投资损失一资产处置损失+其他 收益=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6250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-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4250 + 100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—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60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—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115 — 175 + 250 — 100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—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25 + 100 = 1975 </w:t>
      </w:r>
      <w:r>
        <w:rPr>
          <w:color w:val="000000"/>
          <w:spacing w:val="0"/>
          <w:w w:val="100"/>
          <w:position w:val="0"/>
          <w:shd w:val="clear" w:color="auto" w:fill="auto"/>
        </w:rPr>
        <w:t>(万元)。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20" w:lineRule="exact"/>
        <w:ind w:left="240" w:right="0" w:hanging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.房地合估模式下运用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法评估不动产价值，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说法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评估在建不动产的价值可以按照已建成不动产的价值乘以完工率 来确定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计算利息的基数为土地取得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、建筑物开发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、管理费用和销 售费用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不动产评估值=土地取得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+建筑物开发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+管理费用+销 售费用+利息+利润+销售税费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6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房地合估时，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地上物的尚可使用年限短于土地使用权剩余年限, 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应按照地上物的尚可使用年限为基础测算损耗，计算出的评估结果 需要再加上土地使用权剩余年限与地上物尚可使用年限之差那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的土地使用权价格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240" w:lineRule="auto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项计算的是重置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，评估旧建筑物时应该考虑损耗，确定成新率。 旧建筑物评估值=（土地取得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+建筑物开发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+管理费用+销 售费用+利息+利润+销售税费）义成新率。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6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37</w:t>
      </w:r>
      <w:r>
        <w:rPr>
          <w:color w:val="000000"/>
          <w:spacing w:val="0"/>
          <w:w w:val="100"/>
          <w:position w:val="0"/>
          <w:shd w:val="clear" w:color="auto" w:fill="auto"/>
        </w:rPr>
        <w:t>.私募基金应当向合格投资者募集。合格投资者需具备的条件不包 括（）。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净资产不低于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万元的单位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金融资产不低于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万元的个人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最近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年个人年均收入不低于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万元的个人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担任公司股东的个人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240" w:lineRule="auto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27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合格投资者是具备相应风险识别能力和风险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能力，投资于单只私 募基金的金额不低于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万元且符合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相关标准的单位和个人：① 净资产不低于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万元的单位；②金融资产不低于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万元或者最 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年个人年均收入不低于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万元的个人。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.使用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法进行资产评估的前提条件包括（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[2018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年真题]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A,</w:t>
      </w:r>
      <w:r>
        <w:rPr>
          <w:color w:val="000000"/>
          <w:spacing w:val="0"/>
          <w:w w:val="100"/>
          <w:position w:val="0"/>
          <w:shd w:val="clear" w:color="auto" w:fill="auto"/>
        </w:rPr>
        <w:t>被评估资产处于持续使用状态或被假定处于继续使用状态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被评估资产必须是可再生、可复制的资产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被评估资产预期获利年限可以被预测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.该评估资产应当具备可利用的历史资料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被评估资产存在一个活跃的公开市场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6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A|B|D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6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采用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法评估资产的前提条件是：①被评估资产处于持续使用状态 或被假定处于继续使用状态。持续使用假设又被分为现状续用、转用 续用和移地续用假设；②被评估资产必须是可再生、可复制的资产。 如果被评估资产不具有再生性或可复制性，采用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法从重建的角度 计算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不具有理论上和现实上的意义。另外，如果资产不可再生, 其价值也可能无法通过简单的重置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来反映，</w:t>
      </w:r>
      <w:r>
        <w:rPr>
          <w:color w:val="000000"/>
          <w:spacing w:val="0"/>
          <w:w w:val="100"/>
          <w:position w:val="0"/>
          <w:shd w:val="clear" w:color="auto" w:fill="auto"/>
        </w:rPr>
        <w:t>比方</w:t>
      </w:r>
      <w:r>
        <w:rPr>
          <w:color w:val="000000"/>
          <w:spacing w:val="0"/>
          <w:w w:val="100"/>
          <w:position w:val="0"/>
          <w:shd w:val="clear" w:color="auto" w:fill="auto"/>
        </w:rPr>
        <w:t>包含了社会效应 和文化效应的历史性不动产；③应当具备可利用的历史资料。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 的应用是建立在历史资料基础上的，许多信息资料、指标需要通过历 史资料获得。同时，现时资产与历史资产具有相同性或可比性。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2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.对于同种类的商品，某消费者偏好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商品甚于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商品的原因是（）。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商品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的价值最低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商品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供不应求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.对该消费者而言，商品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的效用大于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商品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有多种用途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24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24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由于消费者选择行为的目标是在一定的约束条件下追求自身的最大 效用，因此对于同种类的商品，消费者存在偏好程度的</w:t>
      </w:r>
      <w:r>
        <w:rPr>
          <w:color w:val="000000"/>
          <w:spacing w:val="0"/>
          <w:w w:val="100"/>
          <w:position w:val="0"/>
          <w:shd w:val="clear" w:color="auto" w:fill="auto"/>
        </w:rPr>
        <w:t>差异</w:t>
      </w:r>
      <w:r>
        <w:rPr>
          <w:color w:val="000000"/>
          <w:spacing w:val="0"/>
          <w:w w:val="100"/>
          <w:position w:val="0"/>
          <w:shd w:val="clear" w:color="auto" w:fill="auto"/>
        </w:rPr>
        <w:t>，反映了 消费者对这些不同的商品组合的效用水平的评价不同。例如，给定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两个商品，如果某消费者对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商品的偏好程度大于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商品，那也就 是说，这个消费者认为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的效用水平大于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5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40.</w:t>
      </w:r>
      <w:r>
        <w:rPr>
          <w:color w:val="000000"/>
          <w:spacing w:val="0"/>
          <w:w w:val="100"/>
          <w:position w:val="0"/>
          <w:shd w:val="clear" w:color="auto" w:fill="auto"/>
        </w:rPr>
        <w:t>甲企业进行整体资产评估，经核实，截至评估基准日应收账款的 账面余额为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万元，坏账准备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万元,企业前五年坏账比例为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不再考虑其他因素，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应收账款评估值为（）万元。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4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A.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B.450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 500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2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2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240" w:right="0" w:hanging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企业前五年坏账比例为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10%,</w:t>
      </w:r>
      <w:r>
        <w:rPr>
          <w:color w:val="000000"/>
          <w:spacing w:val="0"/>
          <w:w w:val="100"/>
          <w:position w:val="0"/>
          <w:shd w:val="clear" w:color="auto" w:fill="auto"/>
        </w:rPr>
        <w:t>评估预计的坏账准备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=500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20% = 100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（万元），所以应收账款评估值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500 —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100 = 400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41</w:t>
      </w:r>
      <w:r>
        <w:rPr>
          <w:color w:val="000000"/>
          <w:spacing w:val="0"/>
          <w:w w:val="100"/>
          <w:position w:val="0"/>
          <w:shd w:val="clear" w:color="auto" w:fill="auto"/>
        </w:rPr>
        <w:t>.企业按照“加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0,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n/60”</w:t>
      </w:r>
      <w:r>
        <w:rPr>
          <w:color w:val="000000"/>
          <w:spacing w:val="0"/>
          <w:w w:val="100"/>
          <w:position w:val="0"/>
          <w:shd w:val="clear" w:color="auto" w:fill="auto"/>
        </w:rPr>
        <w:t>的信用条件购进一批商品，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企业放弃现 金折扣，在信用期最后一天付款，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放弃现金折扣的机会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为（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 [2019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年真题]</w:t>
      </w:r>
      <w:r>
        <w:rPr>
          <w:color w:val="000000"/>
          <w:spacing w:val="0"/>
          <w:w w:val="100"/>
          <w:position w:val="0"/>
          <w:shd w:val="clear" w:color="auto" w:fill="auto"/>
        </w:rPr>
        <w:t>2%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608"/>
        </w:tabs>
        <w:bidi w:val="0"/>
        <w:spacing w:before="0" w:after="0" w:line="1232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14.4%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14.7%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608"/>
        </w:tabs>
        <w:bidi w:val="0"/>
        <w:spacing w:before="0" w:after="2500" w:line="1232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14.9%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2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机会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，是指已向经济资源因选择了某一使用方案而放弃其他使用 方案时，被放弃方案的预期收益。</w:t>
      </w:r>
      <w:r>
        <w:rPr>
          <w:color w:val="000000"/>
          <w:spacing w:val="0"/>
          <w:w w:val="100"/>
          <w:position w:val="0"/>
          <w:shd w:val="clear" w:color="auto" w:fill="auto"/>
        </w:rPr>
        <w:t>此题</w:t>
      </w:r>
      <w:r>
        <w:rPr>
          <w:color w:val="000000"/>
          <w:spacing w:val="0"/>
          <w:w w:val="100"/>
          <w:position w:val="0"/>
          <w:shd w:val="clear" w:color="auto" w:fill="auto"/>
        </w:rPr>
        <w:t>中，企业因选择延长付款期而 放弃了现金折扣，放弃现金折扣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2%/ (1 — 2%)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X360/ (60-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10) =14.7%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60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.运用勘查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效用法评估矿业权价值时，实物工作量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确实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定有关、 有效的勘查工作量。其中“有关”是指(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与评估目的有关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与目标矿种有关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与勘查工作有关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8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与评估基准日有关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240" w:lineRule="auto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0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实物工作量，通过利用专业报告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地质勘查报告和原始资料记载的 实际完成工作量确定。“有关”，是指在评估范围内，与目标矿种有关。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“有效”，是指主要勘查技术手段符合当时的勘查规范要求。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718"/>
        </w:tabs>
        <w:bidi w:val="0"/>
        <w:spacing w:before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.企业发生的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各项利息支出，不应该计入财务费用的是()</w:t>
      </w:r>
      <w:r>
        <w:rPr>
          <w:color w:val="000000"/>
          <w:spacing w:val="0"/>
          <w:w w:val="100"/>
          <w:position w:val="0"/>
          <w:shd w:val="clear" w:color="auto" w:fill="auto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应付债券的利息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外汇汇兑的损失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带息应付票据的利息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筹建期间的长期借款利息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35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5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财务费用是指企业为筹集生产经营所需资金等而发生的筹资费用，包 括利息支出（减利息收入）、汇兑损益以及相关的手续费、企业发生 的现金折扣或收到的现金折扣等。为购建或生产固定资产、投资性房 地产和存货等资产而发生的借款费用，在该项资产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预定可使用或 者可销售状态前按规定应予资本化的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，不作为财务费用核算。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项，筹建期间的长期借款利息不符合资本化条件的应该计入“管理费 用”，如果符合资本化条件的应该计入相关资产的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中。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740"/>
        </w:tabs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关于资产评估基本程序具体内容的说法，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履 行资产评估程序可以消除执业风险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不得引用假设前提与本资产评 估报告不同的单项资产评估报告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资产评估专业人员通常应当在资 产评估报告日后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日内，整理工作底稿，并与其他相关资料形成评 </w:t>
      </w:r>
      <w:r>
        <w:rPr>
          <w:color w:val="000000"/>
          <w:spacing w:val="0"/>
          <w:w w:val="100"/>
          <w:position w:val="0"/>
          <w:shd w:val="clear" w:color="auto" w:fill="auto"/>
        </w:rPr>
        <w:t>估档案，交由所在资产评估机构妥善管理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资产评估专业人员可以 个人与委托人订立资产评估委托合同【答案】：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项，履行 资产评估程序可以防范执业风险，但是不能完全消除执业风险；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项, 不得引用假设前提与本资产评估报告矛盾的单项资产评估报告；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项，评估专业人员承办资产评估业务，应当由其所在的资产评估机构 统一受理，并由评估机构与委托人订立书面评估委托合同。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718"/>
        </w:tabs>
        <w:bidi w:val="0"/>
        <w:spacing w:before="0" w:after="120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.甲公司于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20X5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日向异地乙公司新购入一台生产用机器。 该机器的购买价格为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40000</w:t>
      </w:r>
      <w:r>
        <w:rPr>
          <w:color w:val="000000"/>
          <w:spacing w:val="0"/>
          <w:w w:val="100"/>
          <w:position w:val="0"/>
          <w:shd w:val="clear" w:color="auto" w:fill="auto"/>
        </w:rPr>
        <w:t>元，增值税税率为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13%</w:t>
      </w:r>
      <w:r>
        <w:rPr>
          <w:color w:val="000000"/>
          <w:spacing w:val="0"/>
          <w:w w:val="100"/>
          <w:position w:val="0"/>
          <w:shd w:val="clear" w:color="auto" w:fill="auto"/>
        </w:rPr>
        <w:t>。甲公司另外支付 了运费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1800</w:t>
      </w:r>
      <w:r>
        <w:rPr>
          <w:color w:val="000000"/>
          <w:spacing w:val="0"/>
          <w:w w:val="100"/>
          <w:position w:val="0"/>
          <w:shd w:val="clear" w:color="auto" w:fill="auto"/>
        </w:rPr>
        <w:t>元，包装费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元，购入后又发生安装费用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1500</w:t>
      </w:r>
      <w:r>
        <w:rPr>
          <w:color w:val="000000"/>
          <w:spacing w:val="0"/>
          <w:w w:val="100"/>
          <w:position w:val="0"/>
          <w:shd w:val="clear" w:color="auto" w:fill="auto"/>
        </w:rPr>
        <w:t>元。所 有支出均以银行存款支付。该机器于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日安装完毕达 到预定可使用状态并交付使用。该机器的预计使用年限为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年，预计 净残值率为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4%</w:t>
      </w:r>
      <w:r>
        <w:rPr>
          <w:color w:val="000000"/>
          <w:spacing w:val="0"/>
          <w:w w:val="100"/>
          <w:position w:val="0"/>
          <w:shd w:val="clear" w:color="auto" w:fill="auto"/>
        </w:rPr>
        <w:t>。甲公司采用年数总和法计提折旧，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2019</w:t>
      </w:r>
      <w:r>
        <w:rPr>
          <w:color w:val="000000"/>
          <w:spacing w:val="0"/>
          <w:w w:val="100"/>
          <w:position w:val="0"/>
          <w:shd w:val="clear" w:color="auto" w:fill="auto"/>
        </w:rPr>
        <w:t>年折旧额为 ()元。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2697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5606.4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568"/>
        </w:tabs>
        <w:bidi w:val="0"/>
        <w:spacing w:before="0" w:after="0" w:line="1240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5616.8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2808.4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固定资产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是指企业购建某项固定资产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预定可使用状态前所 发生的一切合理、必要的支出，既包括直接发生的价款、运输费、装 卸费、安装费和专业人员服务费等，也包括间接发生的其他一些费用, 如应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的借款利息、外币借款折算差额，以及应分摊的其他间接费 用。该固定资产入账价值=购买价格+运费+包装费+安装费=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40000 +1800 + 500 +1500 = 43800 </w:t>
      </w:r>
      <w:r>
        <w:rPr>
          <w:color w:val="000000"/>
          <w:spacing w:val="0"/>
          <w:w w:val="100"/>
          <w:position w:val="0"/>
          <w:shd w:val="clear" w:color="auto" w:fill="auto"/>
        </w:rPr>
        <w:t>（元），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2019 </w:t>
      </w:r>
      <w:r>
        <w:rPr>
          <w:color w:val="000000"/>
          <w:spacing w:val="0"/>
          <w:w w:val="100"/>
          <w:position w:val="0"/>
          <w:shd w:val="clear" w:color="auto" w:fill="auto"/>
        </w:rPr>
        <w:t>年的折旧额=固定资 产原值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X（1</w:t>
      </w:r>
      <w:r>
        <w:rPr>
          <w:color w:val="000000"/>
          <w:spacing w:val="0"/>
          <w:w w:val="100"/>
          <w:position w:val="0"/>
          <w:shd w:val="clear" w:color="auto" w:fill="auto"/>
        </w:rPr>
        <w:t>一预计净残值率）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尚可使用寿命+预计使用寿命的年 数总和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=43800X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（1-4%）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X2+15 = 5606.4 </w:t>
      </w:r>
      <w:r>
        <w:rPr>
          <w:color w:val="000000"/>
          <w:spacing w:val="0"/>
          <w:w w:val="100"/>
          <w:position w:val="0"/>
          <w:shd w:val="clear" w:color="auto" w:fill="auto"/>
        </w:rPr>
        <w:t>（元）。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.甲公司为国家需要重点扶持的高新技术企业，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2016</w:t>
      </w:r>
      <w:r>
        <w:rPr>
          <w:color w:val="000000"/>
          <w:spacing w:val="0"/>
          <w:w w:val="100"/>
          <w:position w:val="0"/>
          <w:shd w:val="clear" w:color="auto" w:fill="auto"/>
        </w:rPr>
        <w:t>年实现年度会 计利润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</w:t>
      </w:r>
      <w:r>
        <w:rPr>
          <w:color w:val="000000"/>
          <w:spacing w:val="0"/>
          <w:w w:val="100"/>
          <w:position w:val="0"/>
          <w:shd w:val="clear" w:color="auto" w:fill="auto"/>
        </w:rPr>
        <w:t>甲公司不存在纳税调整事项，企业所得税税额 为（）万元。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613"/>
        </w:tabs>
        <w:bidi w:val="0"/>
        <w:spacing w:before="0" w:after="0" w:line="1227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75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608"/>
        </w:tabs>
        <w:bidi w:val="0"/>
        <w:spacing w:before="0" w:after="0" w:line="1227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《行政</w:t>
      </w:r>
      <w:r>
        <w:rPr>
          <w:color w:val="000000"/>
          <w:spacing w:val="0"/>
          <w:w w:val="100"/>
          <w:position w:val="0"/>
          <w:shd w:val="clear" w:color="auto" w:fill="auto"/>
        </w:rPr>
        <w:t>处分</w:t>
      </w:r>
      <w:r>
        <w:rPr>
          <w:color w:val="000000"/>
          <w:spacing w:val="0"/>
          <w:w w:val="100"/>
          <w:position w:val="0"/>
          <w:shd w:val="clear" w:color="auto" w:fill="auto"/>
        </w:rPr>
        <w:t>法》第二十九条第一款规定，违法行为在二年内未被发现 的，不再给予行政</w:t>
      </w:r>
      <w:r>
        <w:rPr>
          <w:color w:val="000000"/>
          <w:spacing w:val="0"/>
          <w:w w:val="100"/>
          <w:position w:val="0"/>
          <w:shd w:val="clear" w:color="auto" w:fill="auto"/>
        </w:rPr>
        <w:t>处分</w:t>
      </w:r>
      <w:r>
        <w:rPr>
          <w:color w:val="000000"/>
          <w:spacing w:val="0"/>
          <w:w w:val="100"/>
          <w:position w:val="0"/>
          <w:shd w:val="clear" w:color="auto" w:fill="auto"/>
        </w:rPr>
        <w:t>。法律另有规定的除外。第二款规定，前款规 定的期限，从违法行为发生之日起计算；违法行为有连续或者继续状 态的，从行为终了之日起计算。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8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.甲公司计划构建一个厂房，发生如下业务：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（1） 2017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日， 向乙商业银行取得借款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万元，专门用于厂房的建造。期限为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3 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年，年利率为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6%,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每年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日支付利息；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（2） 2017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日， 向施工单位支付工程款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 xml:space="preserve">日向施工单位支付工程款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万元；其余款项放至银行，年利率为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0.5%； （3） 2018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31 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日，厂房建造完毕，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预定可使用状态，并向施工单位支付剩余工 程款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万元。借款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以自由资金付清。甲公司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2017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年工程 资本化利息为（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114.33</w:t>
      </w:r>
    </w:p>
    <w:p>
      <w:pPr>
        <w:pStyle w:val="a0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623"/>
        </w:tabs>
        <w:bidi w:val="0"/>
        <w:spacing w:before="0" w:after="0" w:line="1238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104.34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121</w:t>
      </w:r>
    </w:p>
    <w:p>
      <w:pPr>
        <w:pStyle w:val="a0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623"/>
        </w:tabs>
        <w:bidi w:val="0"/>
        <w:spacing w:before="0" w:after="3100" w:line="1238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116.33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45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国家需要重点扶持的高新技术企业，减按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15%</w:t>
      </w:r>
      <w:r>
        <w:rPr>
          <w:color w:val="000000"/>
          <w:spacing w:val="0"/>
          <w:w w:val="100"/>
          <w:position w:val="0"/>
          <w:shd w:val="clear" w:color="auto" w:fill="auto"/>
        </w:rPr>
        <w:t>的税率征收企业所得 税。甲公司不存在纳税调整事项，所以总收入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万元即为应纳税所 得额，企业所得税税额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500X15% = 75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（万元）。</w:t>
      </w:r>
    </w:p>
    <w:p>
      <w:pPr>
        <w:pStyle w:val="a0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703"/>
        </w:tabs>
        <w:bidi w:val="0"/>
        <w:spacing w:before="0" w:after="1160" w:line="126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.根据《中华人民共和国资产评估法》规定：一般评估业务的评估 档案保存期限不少于（）年。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613"/>
        </w:tabs>
        <w:bidi w:val="0"/>
        <w:spacing w:before="0" w:after="0" w:line="1245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600"/>
        </w:tabs>
        <w:bidi w:val="0"/>
        <w:spacing w:before="0" w:after="0" w:line="124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45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45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根据《中华人民共和国资产评估法》规定：一般评估业务的评估档案 保存期限不少于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年，法定评估业务的评估档案保存期限不少于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30 </w:t>
      </w:r>
      <w:r>
        <w:rPr>
          <w:color w:val="000000"/>
          <w:spacing w:val="0"/>
          <w:w w:val="100"/>
          <w:position w:val="0"/>
          <w:shd w:val="clear" w:color="auto" w:fill="auto"/>
        </w:rPr>
        <w:t>年。</w:t>
      </w:r>
    </w:p>
    <w:p>
      <w:pPr>
        <w:pStyle w:val="a0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725"/>
        </w:tabs>
        <w:bidi w:val="0"/>
        <w:spacing w:before="0" w:after="12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.某公司</w:t>
      </w:r>
      <w:r>
        <w:rPr>
          <w:color w:val="000000"/>
          <w:spacing w:val="0"/>
          <w:w w:val="100"/>
          <w:position w:val="0"/>
          <w:shd w:val="clear" w:color="auto" w:fill="auto"/>
        </w:rPr>
        <w:t>其半年来每个月的产销量及总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，甲公司想使得自</w:t>
      </w:r>
      <w:r>
        <w:rPr>
          <w:color w:val="000000"/>
          <w:spacing w:val="0"/>
          <w:w w:val="100"/>
          <w:position w:val="0"/>
          <w:shd w:val="clear" w:color="auto" w:fill="auto"/>
        </w:rPr>
        <w:t>己的预测更加准确，将每个月的数据都利用起来去预测下个月的总成 本，能够使用的预测方法有（）。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多元回归法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指数平滑法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对数直线法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算术平均法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德尔菲法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9" w:lineRule="exact"/>
        <w:ind w:left="0" w:right="0" w:firstLine="30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A|C|D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9" w:lineRule="exact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项，指数平滑法是根据上期的预测销售量和上期的实际销售量来预 测本期销售量的一种方法，无法将半年来每个月的数据都利用起来；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</w:rPr>
        <w:t>项，德尔菲法是依据系统的程序，采用匿名发表意见的方式，即专 家之间不得相互讨论，不发生横向联系，只能与调查人员发生关系， 通过多轮次调查专家对问卷所提问题的看法，经过反复征询、归纳、 修改，最后汇总成专家基本一致的看法，作为预测结果的一种方法， 无需使用公司数据。</w:t>
      </w:r>
    </w:p>
    <w:p>
      <w:pPr>
        <w:pStyle w:val="a0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725"/>
        </w:tabs>
        <w:bidi w:val="0"/>
        <w:spacing w:before="0" w:after="1200" w:line="12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.被评估设备购建于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1993</w:t>
      </w:r>
      <w:r>
        <w:rPr>
          <w:color w:val="000000"/>
          <w:spacing w:val="0"/>
          <w:w w:val="100"/>
          <w:position w:val="0"/>
          <w:shd w:val="clear" w:color="auto" w:fill="auto"/>
        </w:rPr>
        <w:t>年，账面原值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1998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年对该设备 </w:t>
      </w:r>
      <w:r>
        <w:rPr>
          <w:color w:val="000000"/>
          <w:spacing w:val="0"/>
          <w:w w:val="100"/>
          <w:position w:val="0"/>
          <w:shd w:val="clear" w:color="auto" w:fill="auto"/>
        </w:rPr>
        <w:t>进行技术改造，投资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2000</w:t>
      </w:r>
      <w:r>
        <w:rPr>
          <w:color w:val="000000"/>
          <w:spacing w:val="0"/>
          <w:w w:val="100"/>
          <w:position w:val="0"/>
          <w:shd w:val="clear" w:color="auto" w:fill="auto"/>
        </w:rPr>
        <w:t>年对该设备进行评估，经调查， 该类设备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1993</w:t>
      </w:r>
      <w:r>
        <w:rPr>
          <w:color w:val="000000"/>
          <w:spacing w:val="0"/>
          <w:w w:val="100"/>
          <w:position w:val="0"/>
          <w:shd w:val="clear" w:color="auto" w:fill="auto"/>
        </w:rPr>
        <w:t>年、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1998</w:t>
      </w:r>
      <w:r>
        <w:rPr>
          <w:color w:val="000000"/>
          <w:spacing w:val="0"/>
          <w:w w:val="100"/>
          <w:position w:val="0"/>
          <w:shd w:val="clear" w:color="auto" w:fill="auto"/>
        </w:rPr>
        <w:t>年及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2000</w:t>
      </w:r>
      <w:r>
        <w:rPr>
          <w:color w:val="000000"/>
          <w:spacing w:val="0"/>
          <w:w w:val="100"/>
          <w:position w:val="0"/>
          <w:shd w:val="clear" w:color="auto" w:fill="auto"/>
        </w:rPr>
        <w:t>年的定基物价指数分别为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100%&gt; 125%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130%,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该设备的加权年限为（）。</w:t>
      </w:r>
    </w:p>
    <w:p>
      <w:pPr>
        <w:pStyle w:val="a0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613"/>
        </w:tabs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6.19 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6.03 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</w:p>
    <w:p>
      <w:pPr>
        <w:pStyle w:val="a0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608"/>
        </w:tabs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6.06 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6.23 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30" w:lineRule="exact"/>
        <w:ind w:left="0" w:right="0" w:firstLine="26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30" w:lineRule="exact"/>
        <w:ind w:left="0" w:right="0" w:firstLine="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260" w:right="0" w:hanging="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50X130%-100% + 12X130% : 125% = 65 + 12.48 = 77.48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（万元）；力口权投资年限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7X65+ 77.48 + 2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12.48 + 77.48 = 6.19 </w:t>
      </w:r>
      <w:r>
        <w:rPr>
          <w:color w:val="000000"/>
          <w:spacing w:val="0"/>
          <w:w w:val="100"/>
          <w:position w:val="0"/>
          <w:shd w:val="clear" w:color="auto" w:fill="auto"/>
        </w:rPr>
        <w:t>（年）。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.某企业的净利润本年金额为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万元，财务费用的利息为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200</w:t>
      </w:r>
      <w:r>
        <w:rPr>
          <w:color w:val="000000"/>
          <w:spacing w:val="0"/>
          <w:w w:val="100"/>
          <w:position w:val="0"/>
          <w:shd w:val="clear" w:color="auto" w:fill="auto"/>
        </w:rPr>
        <w:t>万 元，本年资本化利息支出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该企业本年的利息保障倍数为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20" w:line="1230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 11.87</w:t>
      </w:r>
    </w:p>
    <w:p>
      <w:pPr>
        <w:pStyle w:val="a0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570"/>
        </w:tabs>
        <w:bidi w:val="0"/>
        <w:spacing w:before="0" w:after="0" w:line="123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12.54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12.91</w:t>
      </w:r>
    </w:p>
    <w:p>
      <w:pPr>
        <w:pStyle w:val="a0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583"/>
        </w:tabs>
        <w:bidi w:val="0"/>
        <w:spacing w:before="0" w:after="2460" w:line="123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13.91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35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5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利息保障倍数=息税前利润+利息费用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=(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净利润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+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利息费用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en-US" w:eastAsia="en-US" w:bidi="en-US"/>
        </w:rPr>
        <w:t>+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 xml:space="preserve">所得 税费用)+利息费用。公式中的分母“利息费用”是指本期发生的全 部应付利息，不仅包括财务费用中的利息费用，还包括计入固定资产 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的资本化利息。分子中的“利息费用”是指计入本期利润表中财 务费用的利息费用。故利息保障倍数=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(3000 + 200) + (200 + 30)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= 13.91o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51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.某林场拟转让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公顷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年生态锥栗林，该林每公顷株数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440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株， 平均树高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3.5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米，平均冠幅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3.0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米。当地同年龄参照林分株数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株/ 公顷，平均树高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3.4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米，平均冠幅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3.2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米，运用重置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评估时，其 株数调整系数评估取值为(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23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 1.00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 1.10</w:t>
      </w:r>
    </w:p>
    <w:p>
      <w:pPr>
        <w:pStyle w:val="a0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585"/>
        </w:tabs>
        <w:bidi w:val="0"/>
        <w:spacing w:before="0" w:after="0" w:line="122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1.03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0.94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25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25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当拟评估林分株数工造林标准株数或参照林分株数时，株数调整系数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Kl = l；</w:t>
      </w:r>
      <w:r>
        <w:rPr>
          <w:color w:val="000000"/>
          <w:spacing w:val="0"/>
          <w:w w:val="100"/>
          <w:position w:val="0"/>
          <w:shd w:val="clear" w:color="auto" w:fill="auto"/>
        </w:rPr>
        <w:t>当拟评估林分株数〈造林标准株数或参照林分株数时，株数 调整系数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Kl =</w:t>
      </w:r>
      <w:r>
        <w:rPr>
          <w:color w:val="000000"/>
          <w:spacing w:val="0"/>
          <w:w w:val="100"/>
          <w:position w:val="0"/>
          <w:shd w:val="clear" w:color="auto" w:fill="auto"/>
        </w:rPr>
        <w:t>拟评估林分株数/造林标准株数（参照林分株数）。</w:t>
      </w:r>
      <w:r>
        <w:rPr>
          <w:color w:val="000000"/>
          <w:spacing w:val="0"/>
          <w:w w:val="100"/>
          <w:position w:val="0"/>
          <w:shd w:val="clear" w:color="auto" w:fill="auto"/>
        </w:rPr>
        <w:t>此题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440&gt;400,</w:t>
      </w:r>
      <w:r>
        <w:rPr>
          <w:color w:val="000000"/>
          <w:spacing w:val="0"/>
          <w:w w:val="100"/>
          <w:position w:val="0"/>
          <w:shd w:val="clear" w:color="auto" w:fill="auto"/>
        </w:rPr>
        <w:t>所以株数调整系数评估取值为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60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52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.企业发生的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现金支出业务中，应列入现金流量表中“购建固 定资产、无形资产和其他长期资产支付的现金”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的有（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在建工程人员的薪酬支出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并购其他企业支付的现金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支付工程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专项借款利息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融资租入固定资产支付的租赁费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以外包方式建造固定资产支付的工程款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A|E</w:t>
      </w: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AE</w:t>
      </w:r>
      <w:r>
        <w:rPr>
          <w:color w:val="000000"/>
          <w:spacing w:val="0"/>
          <w:w w:val="100"/>
          <w:position w:val="0"/>
          <w:shd w:val="clear" w:color="auto" w:fill="auto"/>
        </w:rPr>
        <w:t>两项，“购建固定资产、无形资产和其他长期资产支付的现金”项 目反映企业本期购买、建造固定资产、取得无形资产和其他长期资产 所实际支付的现金，以及用现金支付的应由在建工程和无形资产负担 的职工薪酬。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项，在“投资支付的现金”这一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中反映。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CD</w:t>
      </w:r>
      <w:r>
        <w:rPr>
          <w:color w:val="000000"/>
          <w:spacing w:val="0"/>
          <w:w w:val="100"/>
          <w:position w:val="0"/>
          <w:shd w:val="clear" w:color="auto" w:fill="auto"/>
        </w:rPr>
        <w:t>两 项，“购建固定资产、无形资产和其他长期资产支付的现金”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不 包括为购建固定资产而发生的借款利息资本化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，以及融资租入固 定资产支付的租赁费。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8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53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.出售商品后收到商业汇票进行贴现时，支付给银行的贴现利息应 计入（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应付利息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销售费用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财务费用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8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应收票据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52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4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贴现是指汇票的持票人在汇票到期日前，为了取得资金，贴付一定利 息将票据权利转让给银行，是银行向持票人融通资金的一种方式，是 银行与付款人之间的间接贷款关系，贴现利息应计入财务费用。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54</w:t>
      </w:r>
      <w:r>
        <w:rPr>
          <w:color w:val="000000"/>
          <w:spacing w:val="0"/>
          <w:w w:val="100"/>
          <w:position w:val="0"/>
          <w:shd w:val="clear" w:color="auto" w:fill="auto"/>
        </w:rPr>
        <w:t>.企业持有采用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法核算的长期股权投资期间，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各项中，会 导致长期股权投资价值发生变动的是（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 [2018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年真题]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被投资企业调整其他综合收益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长期股权投资发生减值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被投资企业宣告分派现金股利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8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被投资企业实现净利润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项，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法下期末计提长期股权投资减值准备，长期股权投资账面 价值减少；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项，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法下，持有期间被投资单位宣告分派现金股利 的，投资企业应将其确认为投资收益，不影响长期股权投资账面价值 </w:t>
      </w:r>
      <w:r>
        <w:rPr>
          <w:color w:val="000000"/>
          <w:spacing w:val="0"/>
          <w:w w:val="100"/>
          <w:position w:val="0"/>
          <w:shd w:val="clear" w:color="auto" w:fill="auto"/>
        </w:rPr>
        <w:t>的变化，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AD</w:t>
      </w:r>
      <w:r>
        <w:rPr>
          <w:color w:val="000000"/>
          <w:spacing w:val="0"/>
          <w:w w:val="100"/>
          <w:position w:val="0"/>
          <w:shd w:val="clear" w:color="auto" w:fill="auto"/>
        </w:rPr>
        <w:t>两项，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法下，被投资单位实现净利润和其他综合收 益变化不做处理。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703"/>
        </w:tabs>
        <w:bidi w:val="0"/>
        <w:spacing w:before="0" w:after="1220" w:line="1237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.资产的功能性贬值的计算公式为：被评估资产功能性贬值额=£ （被评估资产年净超额运营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折现系数）。其中，净超额运营成 本是（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超额运营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乘折现系数所得的税额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B,</w:t>
      </w:r>
      <w:r>
        <w:rPr>
          <w:color w:val="000000"/>
          <w:spacing w:val="0"/>
          <w:w w:val="100"/>
          <w:position w:val="0"/>
          <w:shd w:val="clear" w:color="auto" w:fill="auto"/>
        </w:rPr>
        <w:t>超额运营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扣除其抵减的所得税以后的余额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超额运营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除其抵减的所得税以后的余额乘折现系数的所得额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6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超额运营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加上其应抵减的所得税额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7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37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由于企业支付的运营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是在税前扣除的，企业支付的超额运营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会导致税前利润下降，所得税额降低，使得企业负担的运营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远远 低于其实际支付额。因此，净超额运营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是超额运营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扣除所得 税以后的余额。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718"/>
        </w:tabs>
        <w:bidi w:val="0"/>
        <w:spacing w:before="0" w:after="122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关于在产品评估说法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按评估时的相关市场价格、费用水平重置同等级在产品及自制半成 品所需投入合理的料工费估算评估值适用于生产周期较短的在产品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根据价格变动系数调整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计算评估值只适用于生产经营正常、会 计核算水平较高的企业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在产品的评估可采用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法和市场法评估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对生产周期短的产品，主要以其发生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作为价值估算依据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在产品用市场法评估按同类在产品和半成品的市价，扣除销售过程 中预计发生的相关费用后计算评估值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60" w:lineRule="exact"/>
        <w:ind w:left="0" w:right="0" w:firstLine="30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B|C|D|E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60" w:lineRule="exact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按评估时的相关市场价格、费用水平重置同等级在产品及自制半成品 所需投入合理的料工费估算评估值只适用于生产周期较长的在产品。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703"/>
        </w:tabs>
        <w:bidi w:val="0"/>
        <w:spacing w:before="0" w:after="1220" w:line="1223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.关于流动资产评估方式说法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在企业改制等产权变动的资产业务中，被评估企业不可改变生产经 营方式、产品结构等，按市场价值评估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清产核资、会计核算、保险索赔等，在总体上都是以企业持续经营、 资产按在用用途使用为前提的，在这种情况下，按重置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评估流动 </w:t>
      </w:r>
      <w:r>
        <w:rPr>
          <w:color w:val="000000"/>
          <w:spacing w:val="0"/>
          <w:w w:val="100"/>
          <w:position w:val="0"/>
          <w:shd w:val="clear" w:color="auto" w:fill="auto"/>
        </w:rPr>
        <w:t>资产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企业产权变动后，生产经营方式、产品结构等进行调整，未来生产 经营对被评估流动资产的需求大大减少或不需要。在这种情况下，按 变现净值评估流动资产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企业清算时，要求流动资产快速变现，按照快速变现净值评估流动 资产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企业持续经营而流动资产进入市场转移使用或出售按重置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评 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45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B|C|D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45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在企业改制、合资合作经营和联营等产权变动的资产业务中，被评估 企业不可改变生产经营方式、产品结构等，按在用用途评估；企业持 续经营而流动资产进入市场转移使用或出售按变现净值评估。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52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.运用折现现金流量法评估矿业权价值时，其中投资支出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主要 包括（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后续地质勘查投资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经营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在资本化期间内，企业为购建或者生产符合资本化条件的资产而借入 专门借款的，应当以专门借款当期实际发生的利息费用，减去将尚未 动用的借款资金存入银行取得的利息收入或进行暂时性投资取得的 投资收益来确定利息资本化金额。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年该工程的资本化利息=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2000 X6%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—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800X0.5% +12 — 800X0.5%X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104-12-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（2000 — 800 — 800）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X0.5% = 114.33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.某企业预计未来生产经营状况会持续恶化，打算自主终止经营，因 此委托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评估机构对企业自身资产进行评估，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应采用的前提假设 是（）。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持续经营假设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有序清算假设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强制清算假设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交易假设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土地使用权投资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.销售税金及附加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20" w:line="12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固定资产投资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1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A|C|E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1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投资支出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包括：①后续地质勘察投资；②固定资产投资；③无形 资产投资（含土地使用权）；④其他资产投资。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1" w:lineRule="exact"/>
        <w:ind w:left="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59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.某企业在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2016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年年初从银行借入资金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万元，年利率为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8%, 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利润总额为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万元，所得税为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万元。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有关指标的计算结果中, 正确的有（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年利息费用为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企业净利润为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息税前利润为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70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息税前利润为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利息保障倍数为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9.75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：A|B|E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60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年利息费用=借款本金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年利率=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100 X 8% = 8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（万兀） 净利润=禾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」润总额一所得税费用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=70 — 20 = 50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</w:t>
      </w:r>
      <w:r>
        <w:rPr>
          <w:color w:val="000000"/>
          <w:spacing w:val="0"/>
          <w:w w:val="100"/>
          <w:position w:val="0"/>
          <w:shd w:val="clear" w:color="auto" w:fill="auto"/>
        </w:rPr>
        <w:t>息税前利润=利润总额+利息费用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=70 + 8 = 78 </w:t>
      </w:r>
      <w:r>
        <w:rPr>
          <w:color w:val="000000"/>
          <w:spacing w:val="0"/>
          <w:w w:val="100"/>
          <w:position w:val="0"/>
          <w:shd w:val="clear" w:color="auto" w:fill="auto"/>
        </w:rPr>
        <w:t>（万元）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利息保障倍数=息税前利润/利息费用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=7</w:t>
      </w:r>
      <w:r>
        <w:rPr>
          <w:color w:val="000000"/>
          <w:spacing w:val="0"/>
          <w:w w:val="100"/>
          <w:position w:val="0"/>
          <w:shd w:val="clear" w:color="auto" w:fill="auto"/>
        </w:rPr>
        <w:t>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 = 9.75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1238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有关现金流量表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的填列，说法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支付的在建工程人员的工资，应在“购建固定资产、无形资产和其 他长期资产所支付的现金”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反映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因销售商品退回支付的现金，应在“支付其他与经营活动有关的现 金”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中反映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企业购买债券时，实际支付价款中包含的已到付息期但尚未领取的 债券利息，在“投资支付的现金”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中反映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40" w:line="126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本期支付的各项税费扣除本期退回的增值税和所得税等后的金额, 在“支付的各项税费”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中反映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2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  <w:sectPr>
          <w:pgSz w:w="21209" w:h="31355"/>
          <w:pgMar w:top="1963" w:right="2243" w:bottom="2034" w:left="224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项应冲减“销售商品、提供劳务收到的现金”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的填列金额；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项在“支付其他与投资活动有关的现金”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中反映；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项在“收到 的税费返还”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中单独反映。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当经营主体出现证据证明其未来不能持续经营时，就需要进行清算， 当不满足持续经营的原因是经营期限届满或者协议终止经营等由经 营主体的所有者自主决定的清算，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应该选择有序清算假设前提，因 为这种清算是完全由经营主体所有者自主控制的清算，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项正确。</w:t>
      </w:r>
    </w:p>
    <w:p>
      <w:pPr>
        <w:pStyle w:val="a0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33"/>
        </w:tabs>
        <w:bidi w:val="0"/>
        <w:spacing w:before="0" w:after="1240" w:line="1235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关于会计估计和会计政策的表述中，不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由于会计估计带有不确定性，故会削弱会计确认和计量的可靠性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由于会计分期和货币计量的前提，在会计确认和计量过程中，不得 不对许多尚在延续中、其结果尚未确定的交易或事项予以估计入账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在法律、行政法规或者国家统一的会计制度等要求变更的情况下， 或者在会计政策变更能够提供更可靠、更相关的会计信息的情况下， 企业可以变更会计政策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8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会计政策随意变更违背了可比性的会计信息质量要求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92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项，进行会计估计是企业经济活动中不可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的，进行合理的会计 估计是会计核算中必不可少的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，它不会削弱会计核算的可靠性。 企业为了定期、及时地提供有用的会计信息，将延续不断的经营活动 </w:t>
      </w:r>
      <w:r>
        <w:rPr>
          <w:color w:val="000000"/>
          <w:spacing w:val="0"/>
          <w:w w:val="100"/>
          <w:position w:val="0"/>
          <w:shd w:val="clear" w:color="auto" w:fill="auto"/>
        </w:rPr>
        <w:t>人为划分为一定的期间，并在权责发生制的基础上对企业的财务状况 和经营成果进行定期确认和计量。由于会计分期和货币计量的前提， 在确认和计量过程中，不得不对许多尚在延续中、其结果尚未确定的 交易或事项予以估计入账。但是，估计是建立在具有确凿证据的前提 下，而不是随意的。企业根据当时所掌握的可靠证据作出的</w:t>
      </w:r>
      <w:r>
        <w:rPr>
          <w:color w:val="000000"/>
          <w:spacing w:val="0"/>
          <w:w w:val="100"/>
          <w:position w:val="0"/>
          <w:shd w:val="clear" w:color="auto" w:fill="auto"/>
        </w:rPr>
        <w:t>最正确</w:t>
      </w:r>
      <w:r>
        <w:rPr>
          <w:color w:val="000000"/>
          <w:spacing w:val="0"/>
          <w:w w:val="100"/>
          <w:position w:val="0"/>
          <w:shd w:val="clear" w:color="auto" w:fill="auto"/>
        </w:rPr>
        <w:t>估计, 不会削弱会计核算的可靠性。</w:t>
      </w:r>
    </w:p>
    <w:p>
      <w:pPr>
        <w:pStyle w:val="a0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33"/>
        </w:tabs>
        <w:bidi w:val="0"/>
        <w:spacing w:before="0" w:after="124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用材林资产评估方法中，属于市场法的有（）。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木材市场价倒算法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收获现值法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年金资产化法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6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市场成交价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80" w:line="240" w:lineRule="auto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A|E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用材林资产评估市场法包括木材市场价倒算法、市场成交价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法； 用材林资产评估收益法包括收获现值法、年金资本化法、周期收益资 本化法；用材林资产评估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法包括重置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法。</w:t>
      </w:r>
    </w:p>
    <w:p>
      <w:pPr>
        <w:pStyle w:val="a0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425"/>
        </w:tabs>
        <w:bidi w:val="0"/>
        <w:spacing w:before="0" w:after="114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关于资产评估机构接受委托的说法中，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［2018 </w:t>
      </w:r>
      <w:r>
        <w:rPr>
          <w:color w:val="000000"/>
          <w:spacing w:val="0"/>
          <w:w w:val="100"/>
          <w:position w:val="0"/>
          <w:shd w:val="clear" w:color="auto" w:fill="auto"/>
        </w:rPr>
        <w:t>年真题］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资产评估机构不得分别接受利益冲突方的委托对同一评估对象进 行评估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资产评估机构在分别接受利益冲突委托人委托对同一评估对象进 行评估时，需要征得冲突方的同意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资产评估机构可以分别接受利益冲突委托人的委托对同一评估对 象进行评估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4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资产评估机构在分别接受利益冲突委托人委托对同一评估对象进 行评估时，应履行告知义务，分别通知委托双方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1245" w:lineRule="exact"/>
        <w:ind w:left="0" w:right="0" w:firstLine="24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45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评估机构不得分别接受利益冲突双方的委托，对同一评估对象进行评 估。</w:t>
      </w:r>
    </w:p>
    <w:p>
      <w:pPr>
        <w:pStyle w:val="a0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695"/>
          <w:tab w:val="left" w:pos="6833"/>
        </w:tabs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.某企业拟以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“1/10,</w:t>
      </w:r>
      <w:r>
        <w:rPr>
          <w:color w:val="000000"/>
          <w:spacing w:val="0"/>
          <w:w w:val="100"/>
          <w:position w:val="0"/>
          <w:shd w:val="clear" w:color="auto" w:fill="auto"/>
        </w:rPr>
        <w:t>的信用条件购进原材料一批，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企业放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弃现金折扣的机会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率为（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）o</w:t>
      </w:r>
    </w:p>
    <w:p>
      <w:pPr>
        <w:pStyle w:val="a0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630"/>
        </w:tabs>
        <w:bidi w:val="0"/>
        <w:spacing w:before="0" w:after="62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17.8%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18.2%</w:t>
      </w:r>
    </w:p>
    <w:p>
      <w:pPr>
        <w:pStyle w:val="a0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630"/>
        </w:tabs>
        <w:bidi w:val="0"/>
        <w:spacing w:before="0" w:after="620" w:line="240" w:lineRule="auto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15.6%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24%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7" w:lineRule="exact"/>
        <w:ind w:left="0" w:right="0" w:firstLine="26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【答案】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：B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40" w:line="1237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放弃现金折扣的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=[折扣百分比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+（1</w:t>
      </w:r>
      <w:r>
        <w:rPr>
          <w:color w:val="000000"/>
          <w:spacing w:val="0"/>
          <w:w w:val="100"/>
          <w:position w:val="0"/>
          <w:shd w:val="clear" w:color="auto" w:fill="auto"/>
        </w:rPr>
        <w:t>—折扣百分比）]义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[360+（</w:t>
      </w:r>
      <w:r>
        <w:rPr>
          <w:color w:val="000000"/>
          <w:spacing w:val="0"/>
          <w:w w:val="100"/>
          <w:position w:val="0"/>
          <w:shd w:val="clear" w:color="auto" w:fill="auto"/>
        </w:rPr>
        <w:t>信 用期一折扣期）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]=[1%+（1-1%）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]X[360H- （30-10） ]X100% =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18.2%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80" w:line="1222" w:lineRule="exact"/>
        <w:ind w:left="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n.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关于我国资产评估准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制定机制的说法，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z w:val="52"/>
          <w:szCs w:val="5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中国资产评估协会将审议稿提交相关准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委员会审议，并根据委员 会审议意见修改形成拟发稿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.资产评估基本准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报财政部审定后，由财政部发布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中国资产评估协会组织成立了资产评估准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委员会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2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资产评估准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委员会主要职能包括：审议拟发布的资产评估准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、 对资产评估准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涉及的重大或专业性问题及具体实施提供咨询意见、 推动资产评估准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国际交流等</w:t>
      </w:r>
    </w:p>
    <w:sectPr>
      <w:pgSz w:w="21209" w:h="31355"/>
      <w:pgMar w:top="1934" w:right="2326" w:bottom="2086" w:left="2329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727999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1D44A74"/>
    <w:multiLevelType w:val="multilevel"/>
    <w:tmpl w:val="00000000"/>
    <w:lvl w:ilvl="0">
      <w:start w:val="3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2DF3B50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9A4963E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CEE7F05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17385FC"/>
    <w:multiLevelType w:val="multilevel"/>
    <w:tmpl w:val="00000000"/>
    <w:lvl w:ilvl="0">
      <w:start w:val="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2FBCE81"/>
    <w:multiLevelType w:val="multilevel"/>
    <w:tmpl w:val="00000000"/>
    <w:lvl w:ilvl="0">
      <w:start w:val="43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19F97E88"/>
    <w:multiLevelType w:val="multilevel"/>
    <w:tmpl w:val="00000000"/>
    <w:lvl w:ilvl="0">
      <w:start w:val="13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1F6AC7E5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2C209B50"/>
    <w:multiLevelType w:val="multilevel"/>
    <w:tmpl w:val="00000000"/>
    <w:lvl w:ilvl="0">
      <w:start w:val="1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292925C"/>
    <w:multiLevelType w:val="multilevel"/>
    <w:tmpl w:val="00000000"/>
    <w:lvl w:ilvl="0">
      <w:start w:val="47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47B6511A"/>
    <w:multiLevelType w:val="multilevel"/>
    <w:tmpl w:val="00000000"/>
    <w:lvl w:ilvl="0">
      <w:start w:val="16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47DDB7A5"/>
    <w:multiLevelType w:val="multilevel"/>
    <w:tmpl w:val="00000000"/>
    <w:lvl w:ilvl="0">
      <w:start w:val="3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4F377CAE"/>
    <w:multiLevelType w:val="multilevel"/>
    <w:tmpl w:val="00000000"/>
    <w:lvl w:ilvl="0">
      <w:start w:val="3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5434B067"/>
    <w:multiLevelType w:val="multilevel"/>
    <w:tmpl w:val="00000000"/>
    <w:lvl w:ilvl="0">
      <w:start w:val="7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575EB56A"/>
    <w:multiLevelType w:val="multilevel"/>
    <w:tmpl w:val="00000000"/>
    <w:lvl w:ilvl="0">
      <w:start w:val="2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5CE749DD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5D326AA3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67A7A98D"/>
    <w:multiLevelType w:val="multilevel"/>
    <w:tmpl w:val="00000000"/>
    <w:lvl w:ilvl="0">
      <w:start w:val="55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69D9ADD6"/>
    <w:multiLevelType w:val="multilevel"/>
    <w:tmpl w:val="00000000"/>
    <w:lvl w:ilvl="0">
      <w:start w:val="2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7236C7CC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79013037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79994E88"/>
    <w:multiLevelType w:val="multilevel"/>
    <w:tmpl w:val="00000000"/>
    <w:lvl w:ilvl="0">
      <w:start w:val="2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7C9BC6F3"/>
    <w:multiLevelType w:val="multilevel"/>
    <w:tmpl w:val="00000000"/>
    <w:lvl w:ilvl="0">
      <w:start w:val="2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7E8602D8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3"/>
  </w:num>
  <w:num w:numId="5">
    <w:abstractNumId w:val="15"/>
  </w:num>
  <w:num w:numId="6">
    <w:abstractNumId w:val="16"/>
  </w:num>
  <w:num w:numId="7">
    <w:abstractNumId w:val="24"/>
  </w:num>
  <w:num w:numId="8">
    <w:abstractNumId w:val="2"/>
  </w:num>
  <w:num w:numId="9">
    <w:abstractNumId w:val="22"/>
  </w:num>
  <w:num w:numId="10">
    <w:abstractNumId w:val="8"/>
  </w:num>
  <w:num w:numId="11">
    <w:abstractNumId w:val="1"/>
  </w:num>
  <w:num w:numId="12">
    <w:abstractNumId w:val="3"/>
  </w:num>
  <w:num w:numId="13">
    <w:abstractNumId w:val="6"/>
  </w:num>
  <w:num w:numId="14">
    <w:abstractNumId w:val="19"/>
  </w:num>
  <w:num w:numId="15">
    <w:abstractNumId w:val="4"/>
  </w:num>
  <w:num w:numId="16">
    <w:abstractNumId w:val="17"/>
  </w:num>
  <w:num w:numId="17">
    <w:abstractNumId w:val="10"/>
  </w:num>
  <w:num w:numId="18">
    <w:abstractNumId w:val="0"/>
  </w:num>
  <w:num w:numId="19">
    <w:abstractNumId w:val="20"/>
  </w:num>
  <w:num w:numId="20">
    <w:abstractNumId w:val="23"/>
  </w:num>
  <w:num w:numId="21">
    <w:abstractNumId w:val="12"/>
  </w:num>
  <w:num w:numId="22">
    <w:abstractNumId w:val="18"/>
  </w:num>
  <w:num w:numId="23">
    <w:abstractNumId w:val="14"/>
  </w:num>
  <w:num w:numId="24">
    <w:abstractNumId w:val="5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A1E1E"/>
      <w:sz w:val="94"/>
      <w:szCs w:val="94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2"/>
      <w:szCs w:val="5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960" w:line="1245" w:lineRule="exact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A1E1E"/>
      <w:sz w:val="94"/>
      <w:szCs w:val="94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600" w:line="48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1232" w:lineRule="exact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52"/>
      <w:szCs w:val="5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