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8"/>
        <w:rPr>
          <w:lang w:eastAsia="zh-CN"/>
        </w:rPr>
      </w:pPr>
      <w:bookmarkStart w:id="0" w:name="_Toc453597319"/>
      <w:bookmarkStart w:id="1" w:name="_Toc415818939"/>
      <w:bookmarkStart w:id="2" w:name="OLE_LINK39"/>
      <w:bookmarkStart w:id="3" w:name="OLE_LINK15"/>
      <w:bookmarkStart w:id="4" w:name="_Toc438987549"/>
      <w:bookmarkStart w:id="5" w:name="OLE_LINK40"/>
      <w:bookmarkStart w:id="6" w:name="_Toc418070112"/>
      <w:bookmarkStart w:id="7" w:name="_Toc481801204"/>
      <w:bookmarkStart w:id="8" w:name="OLE_LINK13"/>
      <w:bookmarkStart w:id="9" w:name="_Toc415143481"/>
      <w:bookmarkStart w:id="10" w:name="_Toc517262917"/>
      <w:bookmarkStart w:id="11" w:name="_Toc415142861"/>
      <w:bookmarkStart w:id="12" w:name="OLE_LINK24"/>
      <w:r>
        <w:rPr>
          <w:lang w:eastAsia="zh-CN"/>
        </w:rPr>
        <w:t xml:space="preserve">1,2-环氧丁烷 (BO) </w:t>
      </w:r>
      <w:r>
        <w:rPr>
          <w:rFonts w:hint="eastAsia"/>
          <w:lang w:eastAsia="zh-CN"/>
        </w:rPr>
        <w:t>全球市场总体规模</w:t>
      </w:r>
    </w:p>
    <w:p>
      <w:pPr>
        <w:pStyle w:val="146"/>
        <w:rPr>
          <w:lang w:eastAsia="zh-CN"/>
        </w:rPr>
      </w:pPr>
      <w:r>
        <w:rPr>
          <w:rFonts w:hint="eastAsia"/>
          <w:lang w:eastAsia="zh-CN"/>
        </w:rPr>
        <w:t>据QYResearch调研团队最新报告“全球1,2-环氧丁烷 (BO) 市场报告2024-2030”显示，预计2030年全球1,2-环氧丁烷 (BO) 市场规模将达到1.1亿美元，未来几年年复合增长率CAGR为9.6%。</w:t>
      </w:r>
    </w:p>
    <w:p>
      <w:pPr>
        <w:pStyle w:val="149"/>
        <w:rPr>
          <w:lang w:eastAsia="zh-CN"/>
        </w:rPr>
      </w:pPr>
      <w:r>
        <w:rPr>
          <w:lang w:eastAsia="zh-CN"/>
        </w:rPr>
        <w:t xml:space="preserve">1,2-环氧丁烷 (BO) </w:t>
      </w:r>
      <w:r>
        <w:rPr>
          <w:rFonts w:hint="eastAsia"/>
          <w:lang w:eastAsia="zh-CN"/>
        </w:rPr>
        <w:t>，全球市场总体规模</w:t>
      </w:r>
    </w:p>
    <w:p>
      <w:pPr>
        <w:pStyle w:val="146"/>
        <w:rPr>
          <w:lang w:eastAsia="zh-CN"/>
        </w:rPr>
      </w:pPr>
      <w:r>
        <w:drawing>
          <wp:inline distT="0" distB="0" distL="0" distR="0">
            <wp:extent cx="6188710" cy="29368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4"/>
        <w:rPr>
          <w:lang w:eastAsia="zh-CN"/>
        </w:rPr>
      </w:pPr>
      <w:r>
        <w:rPr>
          <w:rFonts w:hint="eastAsia"/>
          <w:lang w:eastAsia="zh-CN"/>
        </w:rPr>
        <w:t>如上图表/数据，摘自QYResearch最新报告“全球</w:t>
      </w:r>
      <w:r>
        <w:rPr>
          <w:lang w:eastAsia="zh-CN"/>
        </w:rPr>
        <w:t xml:space="preserve">1,2-环氧丁烷 (BO) </w:t>
      </w:r>
      <w:r>
        <w:rPr>
          <w:rFonts w:hint="eastAsia"/>
          <w:lang w:eastAsia="zh-CN"/>
        </w:rPr>
        <w:t>市场研究报告2024-2030</w:t>
      </w:r>
      <w:r>
        <w:rPr>
          <w:lang w:eastAsia="zh-CN"/>
        </w:rPr>
        <w:t>.</w:t>
      </w:r>
    </w:p>
    <w:p>
      <w:pPr>
        <w:pStyle w:val="146"/>
        <w:rPr>
          <w:lang w:eastAsia="zh-CN"/>
        </w:rPr>
      </w:pPr>
      <w:r>
        <w:rPr>
          <w:rFonts w:hint="eastAsia"/>
          <w:lang w:eastAsia="zh-CN"/>
        </w:rPr>
        <w:t>行业现状</w:t>
      </w:r>
      <w:r>
        <w:rPr>
          <w:lang w:eastAsia="zh-CN"/>
        </w:rPr>
        <w:t>:</w:t>
      </w:r>
    </w:p>
    <w:p>
      <w:pPr>
        <w:pStyle w:val="146"/>
        <w:rPr>
          <w:rFonts w:hint="eastAsia"/>
          <w:lang w:eastAsia="zh-CN"/>
        </w:rPr>
      </w:pPr>
      <w:r>
        <w:rPr>
          <w:rFonts w:hint="eastAsia"/>
          <w:lang w:eastAsia="zh-CN"/>
        </w:rPr>
        <w:t>1.应用受限。环氧丁烷在各个应用领域中的应用需求并不大，未来市场开拓空间有限。首先，环氧丁烷易燃，其蒸气与空气可形成爆炸性混合物，遇明火、高热或与氧化剂接触，有引起燃烧爆炸的危险，环氧丁烷属于危险化学品，在一定程度上限制了其应用的拓展。其次，2017年10月27日，世界卫生组织国际癌症研究机构公布的致癌物清单中，1,2-环氧丁烷在2B类致癌物清单中。</w:t>
      </w:r>
    </w:p>
    <w:p>
      <w:pPr>
        <w:pStyle w:val="146"/>
        <w:rPr>
          <w:rFonts w:hint="eastAsia"/>
          <w:lang w:eastAsia="zh-CN"/>
        </w:rPr>
      </w:pPr>
      <w:r>
        <w:rPr>
          <w:rFonts w:hint="eastAsia"/>
          <w:lang w:eastAsia="zh-CN"/>
        </w:rPr>
        <w:t>2.环保压力。目前，我国环氧丁烷企业多采用氯醇法生产工艺，“三废”污染较为严重。近年来，我国政府不断加大环保监管力度，大量化工企业迫于环保压力已经停产甚至倒闭，环氧丁烷企业数量也有所减少。此外，与国外进口产品相比，我国本土环氧丁烷产品纯度、质量等方面差距较大，且由于生产成本较高，国产环氧丁烷产品价格与进口环氧丁烷价格基本持平，使得大多数下游客户更倾向于选择国外进口产品，使得近年我国环氧丁烷行业销量持续减少，多数企业迫于生存压力转向其他产品的生产，行业内企业数量减少。</w:t>
      </w:r>
    </w:p>
    <w:p>
      <w:pPr>
        <w:pStyle w:val="146"/>
        <w:rPr>
          <w:lang w:eastAsia="zh-CN"/>
        </w:rPr>
      </w:pPr>
      <w:r>
        <w:rPr>
          <w:rFonts w:hint="eastAsia"/>
          <w:lang w:eastAsia="zh-CN"/>
        </w:rPr>
        <w:t>发展趋势</w:t>
      </w:r>
      <w:r>
        <w:rPr>
          <w:lang w:eastAsia="zh-CN"/>
        </w:rPr>
        <w:t>:</w:t>
      </w:r>
    </w:p>
    <w:p>
      <w:pPr>
        <w:pStyle w:val="146"/>
        <w:rPr>
          <w:rFonts w:hint="eastAsia"/>
          <w:lang w:eastAsia="zh-CN"/>
        </w:rPr>
      </w:pPr>
      <w:r>
        <w:rPr>
          <w:rFonts w:hint="eastAsia"/>
          <w:lang w:eastAsia="zh-CN"/>
        </w:rPr>
        <w:t>1.环氧化合物主要用于生产减水剂、表面活性剂、聚氨酯、环氧树脂、增塑剂等。随着经济发展和技术进步，在工程塑料，生物可降解塑料，电子化学品等高价值领域的应用也在不断开发，并取得了丰硕成果。</w:t>
      </w:r>
    </w:p>
    <w:p>
      <w:pPr>
        <w:pStyle w:val="146"/>
        <w:rPr>
          <w:rFonts w:hint="eastAsia"/>
          <w:lang w:eastAsia="zh-CN"/>
        </w:rPr>
      </w:pPr>
      <w:r>
        <w:rPr>
          <w:rFonts w:hint="eastAsia"/>
          <w:lang w:eastAsia="zh-CN"/>
        </w:rPr>
        <w:t>2.目前常见的聚醚主要是以环氧乙烷或环氧丙烷为单体原料所合成的聚醚多元醇，以环氧丁烷为单体所合成的聚醚占市场份额较小，但由于其自身特性，环氧丁烷聚合物在水中的溶解度低于相同链段长度的聚环氧乙烷和聚环氧丙烷，其用途正在不断拓宽，具有广阔的发展前景。</w:t>
      </w:r>
    </w:p>
    <w:p>
      <w:pPr>
        <w:pStyle w:val="146"/>
        <w:rPr>
          <w:lang w:eastAsia="zh-CN"/>
        </w:rPr>
      </w:pPr>
      <w:r>
        <w:rPr>
          <w:rFonts w:hint="eastAsia"/>
          <w:lang w:eastAsia="zh-CN"/>
        </w:rPr>
        <w:t>除可以生成聚醚外，同环氧乙烷和环氧丙烷相似，环氧丁烷也很活泼，可与含有活 性氢原子的化合物，如水、醇类、多元醇、酚类、硫醇、氨、胺类、酸类等发生反应。环氧丁烷经水合生成的丁二醇，可用于制造增塑剂，环氧丁烷与乙醇反应生成的醇醚、与氨合成的氨基丁醇，用于涂料工业。1，2-环氧丁烷、2, 3-环氧丁烷、环氧异丁烷与硼酸的反应物，可用于矿物油、液压油的添加剂及杀菌剂、木材防腐剂。环氧丁烷与环氧乙烷的嵌段共聚物用于生产非离子型乳化剂、破乳剂等表面活性剂。环氧丁烷还可用作三氯乙烯等氯代烃溶剂的特效酸清除剂，此外在医药和农药化学品等方面也有广泛用途。</w:t>
      </w:r>
    </w:p>
    <w:p>
      <w:pPr>
        <w:pStyle w:val="149"/>
        <w:rPr>
          <w:lang w:eastAsia="zh-CN"/>
        </w:rPr>
      </w:pPr>
      <w:r>
        <w:rPr>
          <w:rFonts w:hint="eastAsia"/>
          <w:lang w:eastAsia="zh-CN"/>
        </w:rPr>
        <w:t>全球</w:t>
      </w:r>
      <w:r>
        <w:rPr>
          <w:lang w:eastAsia="zh-CN"/>
        </w:rPr>
        <w:t xml:space="preserve">1,2-环氧丁烷 (BO) </w:t>
      </w:r>
      <w:r>
        <w:rPr>
          <w:rFonts w:hint="eastAsia"/>
          <w:lang w:eastAsia="zh-CN"/>
        </w:rPr>
        <w:t>市场主要生产商排名及市场占有率（持续更新）</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4"/>
      </w:pPr>
      <w:r>
        <w:rPr>
          <w:rFonts w:hint="eastAsia"/>
          <w:lang w:eastAsia="zh-CN"/>
        </w:rPr>
        <w:t>如上图表/数据，摘自QYResearch最新报告“</w:t>
      </w:r>
      <w:r>
        <w:rPr>
          <w:rFonts w:hint="eastAsia"/>
        </w:rPr>
        <w:t>全球</w:t>
      </w:r>
      <w:r>
        <w:t xml:space="preserve">1,2-环氧丁烷 (BO) </w:t>
      </w:r>
      <w:r>
        <w:rPr>
          <w:rFonts w:hint="eastAsia"/>
        </w:rPr>
        <w:t>市场研究报告2024-2030</w:t>
      </w:r>
      <w:r>
        <w:t>.</w:t>
      </w:r>
    </w:p>
    <w:p>
      <w:pPr>
        <w:pStyle w:val="146"/>
        <w:rPr>
          <w:lang w:eastAsia="zh-CN"/>
        </w:rPr>
      </w:pPr>
      <w:r>
        <w:rPr>
          <w:rFonts w:hint="eastAsia"/>
          <w:lang w:eastAsia="zh-CN"/>
        </w:rPr>
        <w:t>根据QYResearch头部企业研究中心调研，G90全球范围内1,2-环氧丁烷 (BO) 生产商主要包括BASF等。2023年，全球最大厂商占有大约</w:t>
      </w:r>
      <w:r>
        <w:rPr>
          <w:lang w:eastAsia="zh-CN"/>
        </w:rPr>
        <w:t>92.3%</w:t>
      </w:r>
      <w:r>
        <w:rPr>
          <w:rFonts w:hint="eastAsia"/>
          <w:lang w:eastAsia="zh-CN"/>
        </w:rPr>
        <w:t>的市场份额。</w:t>
      </w:r>
    </w:p>
    <w:p>
      <w:pPr>
        <w:pStyle w:val="149"/>
        <w:rPr>
          <w:lang w:eastAsia="zh-CN"/>
        </w:rPr>
      </w:pPr>
      <w:r>
        <w:rPr>
          <w:lang w:eastAsia="zh-CN"/>
        </w:rPr>
        <w:t xml:space="preserve">1,2-环氧丁烷 (BO) </w:t>
      </w:r>
      <w:r>
        <w:rPr>
          <w:rFonts w:hint="eastAsia"/>
          <w:lang w:eastAsia="zh-CN"/>
        </w:rPr>
        <w:t>，全球市场规模，按产品类型细分</w:t>
      </w:r>
    </w:p>
    <w:p>
      <w:pPr>
        <w:pStyle w:val="146"/>
        <w:rPr>
          <w:lang w:eastAsia="zh-CN"/>
        </w:rPr>
      </w:pPr>
      <w:r>
        <w:rPr>
          <w:lang w:val="en-US" w:eastAsia="zh-CN"/>
        </w:rPr>
        <w:drawing>
          <wp:inline distT="0" distB="0" distL="0" distR="0">
            <wp:extent cx="6200775" cy="28581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14018" cy="2864808"/>
                    </a:xfrm>
                    <a:prstGeom prst="rect">
                      <a:avLst/>
                    </a:prstGeom>
                    <a:noFill/>
                  </pic:spPr>
                </pic:pic>
              </a:graphicData>
            </a:graphic>
          </wp:inline>
        </w:drawing>
      </w:r>
    </w:p>
    <w:p>
      <w:pPr>
        <w:pStyle w:val="146"/>
        <w:rPr>
          <w:lang w:eastAsia="zh-CN"/>
        </w:rPr>
      </w:pPr>
      <w:r>
        <w:drawing>
          <wp:inline distT="0" distB="0" distL="0" distR="0">
            <wp:extent cx="6188710" cy="2922270"/>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4"/>
      </w:pPr>
      <w:r>
        <w:rPr>
          <w:rFonts w:hint="eastAsia"/>
          <w:lang w:eastAsia="zh-CN"/>
        </w:rPr>
        <w:t>如上图表/数据，摘自QYResearch最新报告“</w:t>
      </w:r>
      <w:r>
        <w:rPr>
          <w:rFonts w:hint="eastAsia"/>
        </w:rPr>
        <w:t>全球</w:t>
      </w:r>
      <w:r>
        <w:t xml:space="preserve">1,2-环氧丁烷 (BO) </w:t>
      </w:r>
      <w:r>
        <w:rPr>
          <w:rFonts w:hint="eastAsia"/>
        </w:rPr>
        <w:t>市场研究报告2024-2030</w:t>
      </w:r>
      <w:r>
        <w:t>.</w:t>
      </w:r>
    </w:p>
    <w:p>
      <w:pPr>
        <w:pStyle w:val="146"/>
        <w:rPr>
          <w:lang w:eastAsia="zh-CN"/>
        </w:rPr>
      </w:pPr>
      <w:r>
        <w:rPr>
          <w:rFonts w:hint="eastAsia"/>
          <w:lang w:eastAsia="zh-CN"/>
        </w:rPr>
        <w:t>就产品类型而言，目前</w:t>
      </w:r>
      <w:r>
        <w:rPr>
          <w:lang w:eastAsia="zh-CN"/>
        </w:rPr>
        <w:t>99.5%</w:t>
      </w:r>
      <w:r>
        <w:rPr>
          <w:rFonts w:hint="eastAsia"/>
          <w:lang w:eastAsia="zh-CN"/>
        </w:rPr>
        <w:t>是最主要的细分产品，2023年占据大约</w:t>
      </w:r>
      <w:r>
        <w:rPr>
          <w:lang w:eastAsia="zh-CN"/>
        </w:rPr>
        <w:t>94.2%</w:t>
      </w:r>
      <w:r>
        <w:rPr>
          <w:rFonts w:hint="eastAsia"/>
          <w:lang w:eastAsia="zh-CN"/>
        </w:rPr>
        <w:t>的份额。</w:t>
      </w:r>
    </w:p>
    <w:p>
      <w:pPr>
        <w:pStyle w:val="146"/>
        <w:rPr>
          <w:lang w:eastAsia="zh-CN"/>
        </w:rPr>
      </w:pPr>
    </w:p>
    <w:p>
      <w:pPr>
        <w:pStyle w:val="149"/>
        <w:rPr>
          <w:lang w:eastAsia="zh-CN"/>
        </w:rPr>
      </w:pPr>
      <w:r>
        <w:rPr>
          <w:lang w:eastAsia="zh-CN"/>
        </w:rPr>
        <w:t xml:space="preserve">1,2-环氧丁烷 (BO) </w:t>
      </w:r>
      <w:r>
        <w:rPr>
          <w:rFonts w:hint="eastAsia"/>
          <w:lang w:eastAsia="zh-CN"/>
        </w:rPr>
        <w:t>，全球市场规模，按应用细分</w:t>
      </w:r>
    </w:p>
    <w:p>
      <w:pPr>
        <w:pStyle w:val="146"/>
        <w:rPr>
          <w:lang w:eastAsia="zh-CN"/>
        </w:rPr>
      </w:pPr>
      <w:r>
        <w:rPr>
          <w:lang w:val="en-US" w:eastAsia="zh-CN"/>
        </w:rPr>
        <w:drawing>
          <wp:inline distT="0" distB="0" distL="0" distR="0">
            <wp:extent cx="6229350" cy="2871470"/>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40548" cy="2877039"/>
                    </a:xfrm>
                    <a:prstGeom prst="rect">
                      <a:avLst/>
                    </a:prstGeom>
                    <a:noFill/>
                  </pic:spPr>
                </pic:pic>
              </a:graphicData>
            </a:graphic>
          </wp:inline>
        </w:drawing>
      </w:r>
    </w:p>
    <w:p>
      <w:pPr>
        <w:pStyle w:val="146"/>
        <w:rPr>
          <w:lang w:eastAsia="zh-CN"/>
        </w:rPr>
      </w:pPr>
      <w:r>
        <w:drawing>
          <wp:inline distT="0" distB="0" distL="0" distR="0">
            <wp:extent cx="6188710" cy="3242945"/>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4"/>
      </w:pPr>
      <w:r>
        <w:rPr>
          <w:rFonts w:hint="eastAsia"/>
          <w:lang w:eastAsia="zh-CN"/>
        </w:rPr>
        <w:t>如上图表/数据，摘自QYResearch最新报告“</w:t>
      </w:r>
      <w:r>
        <w:rPr>
          <w:rFonts w:hint="eastAsia"/>
        </w:rPr>
        <w:t>全球</w:t>
      </w:r>
      <w:r>
        <w:t xml:space="preserve">1,2-环氧丁烷 (BO) </w:t>
      </w:r>
      <w:r>
        <w:rPr>
          <w:rFonts w:hint="eastAsia"/>
        </w:rPr>
        <w:t>市场研究报告2024-2030</w:t>
      </w:r>
      <w:r>
        <w:t>.</w:t>
      </w:r>
    </w:p>
    <w:p>
      <w:pPr>
        <w:pStyle w:val="146"/>
        <w:rPr>
          <w:lang w:eastAsia="zh-CN"/>
        </w:rPr>
      </w:pPr>
    </w:p>
    <w:p>
      <w:pPr>
        <w:pStyle w:val="146"/>
        <w:rPr>
          <w:lang w:eastAsia="zh-CN"/>
        </w:rPr>
      </w:pPr>
      <w:r>
        <w:rPr>
          <w:rFonts w:hint="eastAsia"/>
          <w:lang w:eastAsia="zh-CN"/>
        </w:rPr>
        <w:t>就产品类型而言，目前化学中间体是最主要的需求来源，2023年占据大约</w:t>
      </w:r>
      <w:r>
        <w:rPr>
          <w:lang w:eastAsia="zh-CN"/>
        </w:rPr>
        <w:t>61.4%</w:t>
      </w:r>
      <w:r>
        <w:rPr>
          <w:rFonts w:hint="eastAsia"/>
          <w:lang w:eastAsia="zh-CN"/>
        </w:rPr>
        <w:t>的份额。</w:t>
      </w:r>
    </w:p>
    <w:p>
      <w:pPr>
        <w:pStyle w:val="149"/>
        <w:rPr>
          <w:lang w:eastAsia="zh-CN"/>
        </w:rPr>
      </w:pPr>
      <w:r>
        <w:rPr>
          <w:rFonts w:hint="eastAsia"/>
          <w:lang w:eastAsia="zh-CN"/>
        </w:rPr>
        <w:t>全球</w:t>
      </w:r>
      <w:r>
        <w:rPr>
          <w:lang w:eastAsia="zh-CN"/>
        </w:rPr>
        <w:t xml:space="preserve">1,2-环氧丁烷 (BO) </w:t>
      </w:r>
      <w:r>
        <w:rPr>
          <w:rFonts w:hint="eastAsia"/>
          <w:lang w:eastAsia="zh-CN"/>
        </w:rPr>
        <w:t>规模，主要消费地区份额（按收入）</w:t>
      </w:r>
    </w:p>
    <w:p>
      <w:pPr>
        <w:pStyle w:val="146"/>
        <w:rPr>
          <w:lang w:val="en-US" w:eastAsia="zh-CN"/>
        </w:rPr>
      </w:pPr>
      <w:r>
        <w:drawing>
          <wp:inline distT="0" distB="0" distL="0" distR="0">
            <wp:extent cx="6188710" cy="2926080"/>
            <wp:effectExtent l="0" t="0" r="2540" b="762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6"/>
        <w:rPr>
          <w:lang w:val="en-US" w:eastAsia="zh-CN"/>
        </w:rPr>
      </w:pPr>
      <w:r>
        <w:drawing>
          <wp:inline distT="0" distB="0" distL="0" distR="0">
            <wp:extent cx="6188710" cy="2915920"/>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4"/>
      </w:pPr>
      <w:r>
        <w:rPr>
          <w:rFonts w:hint="eastAsia"/>
          <w:lang w:eastAsia="zh-CN"/>
        </w:rPr>
        <w:t>如上图表/数据，摘自QYResearch最新报告“</w:t>
      </w:r>
      <w:r>
        <w:rPr>
          <w:rFonts w:hint="eastAsia"/>
        </w:rPr>
        <w:t>全球</w:t>
      </w:r>
      <w:r>
        <w:t xml:space="preserve">1,2-环氧丁烷 (BO) </w:t>
      </w:r>
      <w:r>
        <w:rPr>
          <w:rFonts w:hint="eastAsia"/>
        </w:rPr>
        <w:t>市场研究报告2024-2030</w:t>
      </w:r>
      <w:r>
        <w:t>.</w:t>
      </w:r>
    </w:p>
    <w:p>
      <w:pPr>
        <w:widowControl/>
        <w:topLinePunct w:val="0"/>
        <w:spacing w:after="0"/>
        <w:jc w:val="left"/>
        <w:rPr>
          <w:color w:val="0D0D0D" w:themeColor="text1" w:themeTint="F2"/>
          <w:kern w:val="0"/>
          <w:szCs w:val="22"/>
          <w:lang w:val="en-IN" w:eastAsia="en-US"/>
          <w14:textFill>
            <w14:solidFill>
              <w14:schemeClr w14:val="tx1">
                <w14:lumMod w14:val="95000"/>
                <w14:lumOff w14:val="5000"/>
              </w14:schemeClr>
            </w14:solidFill>
          </w14:textFill>
        </w:rPr>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8"/>
        <w:rPr>
          <w:lang w:eastAsia="zh-CN"/>
        </w:rPr>
      </w:pPr>
      <w:r>
        <w:rPr>
          <w:rFonts w:hint="eastAsia"/>
          <w:lang w:eastAsia="zh-CN"/>
        </w:rPr>
        <w:t>2024-2030全球与中国1,2-环氧丁烷 (BO)市场现状及未来发展趋势</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根据QYR（恒州博智）的统计及预测，2023年全球1,2-环氧丁烷 (BO)市场销售额达到了0.6亿美元，预计2030年将达到1.12亿美元，年复合增长率（CAGR）为9.6%（2024-2030）。地区层面来看，中国市场在过去几年变化较快，2023年市场规模为 百万美元，约占全球的 %，预计2030年将达到 百万美元，届时全球占比将达到 %。</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全球1,2-环氧丁烷 (BO)核心厂商包括BASF和燕山石化等。BASF是全球最大的生产商，占有大约79%的市场份额。亚太地区是全球最大的市场，占有接近42%的市场份额。</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从产品类型方面来看，99.5%占有主要地位，占有95%的份额。同时就应用来说，化学中间体是最大的应用领域，占有61%份额。</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本报告研究全球与中国市场1,2-环氧丁烷 (BO)的产能、产量、销量、销售额、价格及未来趋势。重点分析全球与中国市场的主要厂商产品特点、产品规格、价格、销量、销售收入及全球和中国市场主要生产商的市场份额。历史数据为2019至2023年，预测数据为2024至2030年。</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主要厂商包括：</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BASF</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燕山石化</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按照不同纯度，包括如下几个类别：</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99.5%</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其他</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按照不同应用，主要包括如下几个方面：</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化学中间体</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工业溶剂稳定剂</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非离子型表面活性剂</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其他</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重点关注如下几个地区</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德国</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 xml:space="preserve">    中国</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本文正文共10章，各章节主要内容如下：</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第1章：报告统计范围、产品细分及主要的下游市场，行业背景、发展历史、现状及趋势等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第2章：全球总体规模（产能、产量、销量、需求量、销售收入等数据，2019-2030年）</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第3章：全球范围内1,2-环氧丁烷 (BO)主要厂商竞争分析，主要包括1,2-环氧丁烷 (BO)产能、销量、收入、市场份额、价格、产地及行业集中度分析</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第4章：全球1,2-环氧丁烷 (BO)主要地区分析，包括销量、销售收入等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第5章：全球1,2-环氧丁烷 (BO)主要厂商基本情况介绍，包括公司简介、1,2-环氧丁烷 (BO)产品型号、销量、收入、价格及最新动态等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第6章：全球不同纯度1,2-环氧丁烷 (BO)销量、收入、价格及份额等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第7章：全球不同应用1,2-环氧丁烷 (BO)销量、收入、价格及份额等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第8章：产业链、上下游分析、销售渠道分析等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open sans" w:hAnsi="open sans" w:eastAsia="open sans" w:cs="open sans"/>
          <w:i w:val="0"/>
          <w:iCs w:val="0"/>
          <w:caps w:val="0"/>
          <w:color w:val="666666"/>
          <w:spacing w:val="0"/>
          <w:sz w:val="21"/>
          <w:szCs w:val="21"/>
          <w:bdr w:val="none" w:color="auto" w:sz="0" w:space="0"/>
          <w:shd w:val="clear" w:fill="FFFFFF"/>
        </w:rPr>
      </w:pPr>
      <w:r>
        <w:rPr>
          <w:rFonts w:hint="default" w:ascii="open sans" w:hAnsi="open sans" w:eastAsia="open sans" w:cs="open sans"/>
          <w:i w:val="0"/>
          <w:iCs w:val="0"/>
          <w:caps w:val="0"/>
          <w:color w:val="666666"/>
          <w:spacing w:val="0"/>
          <w:sz w:val="21"/>
          <w:szCs w:val="21"/>
          <w:bdr w:val="none" w:color="auto" w:sz="0" w:space="0"/>
          <w:shd w:val="clear" w:fill="FFFFFF"/>
        </w:rPr>
        <w:t>第9章：行业动态、增长驱动因素、发展机遇、有利因素、不利及阻碍因素、行业政策等</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ascii="open sans" w:hAnsi="open sans" w:eastAsia="open sans" w:cs="open sans"/>
          <w:i w:val="0"/>
          <w:iCs w:val="0"/>
          <w:caps w:val="0"/>
          <w:color w:val="666666"/>
          <w:spacing w:val="0"/>
          <w:sz w:val="21"/>
          <w:szCs w:val="21"/>
        </w:rPr>
      </w:pPr>
      <w:r>
        <w:rPr>
          <w:rFonts w:hint="default" w:ascii="open sans" w:hAnsi="open sans" w:eastAsia="open sans" w:cs="open sans"/>
          <w:i w:val="0"/>
          <w:iCs w:val="0"/>
          <w:caps w:val="0"/>
          <w:color w:val="666666"/>
          <w:spacing w:val="0"/>
          <w:sz w:val="21"/>
          <w:szCs w:val="21"/>
          <w:bdr w:val="none" w:color="auto" w:sz="0" w:space="0"/>
          <w:shd w:val="clear" w:fill="FFFFFF"/>
        </w:rPr>
        <w:t>第10章：报告结论</w:t>
      </w:r>
    </w:p>
    <w:p>
      <w:pPr>
        <w:pStyle w:val="146"/>
        <w:rPr>
          <w:lang w:eastAsia="zh-CN"/>
        </w:rPr>
      </w:pP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open sans">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9"/>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2"/>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793"/>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06D"/>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128"/>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754"/>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E14"/>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25E"/>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8D"/>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0FB2"/>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3F4"/>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965"/>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237"/>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0FE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10"/>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5D1"/>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F040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2"/>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3"/>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4"/>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5"/>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6"/>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7"/>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3"/>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4"/>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8">
    <w:name w:val="Default Paragraph Font"/>
    <w:semiHidden/>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2"/>
    <w:autoRedefine/>
    <w:qFormat/>
    <w:uiPriority w:val="0"/>
    <w:pPr>
      <w:shd w:val="clear" w:color="auto" w:fill="000080"/>
    </w:pPr>
    <w:rPr>
      <w:rFonts w:asciiTheme="minorHAnsi" w:hAnsiTheme="minorHAnsi"/>
    </w:rPr>
  </w:style>
  <w:style w:type="paragraph" w:styleId="12">
    <w:name w:val="annotation text"/>
    <w:basedOn w:val="1"/>
    <w:link w:val="117"/>
    <w:autoRedefine/>
    <w:unhideWhenUsed/>
    <w:qFormat/>
    <w:uiPriority w:val="0"/>
    <w:pPr>
      <w:jc w:val="left"/>
    </w:pPr>
  </w:style>
  <w:style w:type="paragraph" w:styleId="13">
    <w:name w:val="Body Text"/>
    <w:basedOn w:val="1"/>
    <w:link w:val="113"/>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9"/>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1"/>
    <w:autoRedefine/>
    <w:qFormat/>
    <w:uiPriority w:val="0"/>
    <w:pPr>
      <w:ind w:left="100" w:leftChars="2500"/>
    </w:pPr>
  </w:style>
  <w:style w:type="paragraph" w:styleId="19">
    <w:name w:val="endnote text"/>
    <w:basedOn w:val="1"/>
    <w:link w:val="141"/>
    <w:autoRedefine/>
    <w:semiHidden/>
    <w:unhideWhenUsed/>
    <w:qFormat/>
    <w:uiPriority w:val="99"/>
    <w:pPr>
      <w:snapToGrid w:val="0"/>
      <w:jc w:val="left"/>
    </w:pPr>
  </w:style>
  <w:style w:type="paragraph" w:styleId="20">
    <w:name w:val="Balloon Text"/>
    <w:basedOn w:val="1"/>
    <w:link w:val="105"/>
    <w:autoRedefine/>
    <w:unhideWhenUsed/>
    <w:qFormat/>
    <w:uiPriority w:val="99"/>
    <w:rPr>
      <w:rFonts w:cs="Arial"/>
      <w:kern w:val="0"/>
      <w:sz w:val="18"/>
      <w:szCs w:val="18"/>
      <w:lang w:eastAsia="en-US"/>
    </w:rPr>
  </w:style>
  <w:style w:type="paragraph" w:styleId="21">
    <w:name w:val="footer"/>
    <w:basedOn w:val="1"/>
    <w:link w:val="75"/>
    <w:autoRedefine/>
    <w:unhideWhenUsed/>
    <w:qFormat/>
    <w:uiPriority w:val="99"/>
    <w:pPr>
      <w:tabs>
        <w:tab w:val="center" w:pos="4153"/>
        <w:tab w:val="right" w:pos="8306"/>
      </w:tabs>
      <w:snapToGrid w:val="0"/>
      <w:jc w:val="left"/>
    </w:pPr>
    <w:rPr>
      <w:sz w:val="18"/>
      <w:szCs w:val="18"/>
    </w:rPr>
  </w:style>
  <w:style w:type="paragraph" w:styleId="22">
    <w:name w:val="header"/>
    <w:basedOn w:val="1"/>
    <w:link w:val="7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9"/>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2"/>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8"/>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2">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3">
    <w:name w:val="Title"/>
    <w:basedOn w:val="1"/>
    <w:next w:val="1"/>
    <w:link w:val="99"/>
    <w:autoRedefine/>
    <w:qFormat/>
    <w:uiPriority w:val="10"/>
    <w:pPr>
      <w:spacing w:before="240" w:after="60"/>
      <w:jc w:val="center"/>
      <w:outlineLvl w:val="0"/>
    </w:pPr>
    <w:rPr>
      <w:rFonts w:ascii="Cambria" w:hAnsi="Cambria"/>
      <w:b/>
      <w:bCs/>
      <w:sz w:val="32"/>
      <w:szCs w:val="32"/>
    </w:rPr>
  </w:style>
  <w:style w:type="paragraph" w:styleId="34">
    <w:name w:val="annotation subject"/>
    <w:basedOn w:val="1"/>
    <w:next w:val="1"/>
    <w:link w:val="119"/>
    <w:autoRedefine/>
    <w:qFormat/>
    <w:uiPriority w:val="0"/>
    <w:pPr>
      <w:jc w:val="left"/>
    </w:pPr>
    <w:rPr>
      <w:b/>
      <w:bCs/>
    </w:rPr>
  </w:style>
  <w:style w:type="table" w:styleId="36">
    <w:name w:val="Table Grid"/>
    <w:basedOn w:val="35"/>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7">
    <w:name w:val="Table Colorful 2"/>
    <w:basedOn w:val="35"/>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lassic 1"/>
    <w:basedOn w:val="35"/>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9">
    <w:name w:val="Table Columns 2"/>
    <w:basedOn w:val="35"/>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40">
    <w:name w:val="Table Columns 3"/>
    <w:basedOn w:val="35"/>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1">
    <w:name w:val="Table Columns 5"/>
    <w:basedOn w:val="35"/>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2">
    <w:name w:val="Table Grid 3"/>
    <w:basedOn w:val="35"/>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3">
    <w:name w:val="Table Grid 4"/>
    <w:basedOn w:val="35"/>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4">
    <w:name w:val="Table Grid 8"/>
    <w:basedOn w:val="35"/>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5">
    <w:name w:val="Light List"/>
    <w:basedOn w:val="35"/>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6">
    <w:name w:val="Light List Accent 2"/>
    <w:basedOn w:val="35"/>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7">
    <w:name w:val="Light List Accent 3"/>
    <w:basedOn w:val="35"/>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8">
    <w:name w:val="Light List Accent 4"/>
    <w:basedOn w:val="35"/>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9">
    <w:name w:val="Light List Accent 5"/>
    <w:basedOn w:val="35"/>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50">
    <w:name w:val="Medium Shading 1"/>
    <w:basedOn w:val="35"/>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1">
    <w:name w:val="Medium Shading 1 Accent 1"/>
    <w:basedOn w:val="35"/>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2">
    <w:name w:val="Medium Shading 1 Accent 2"/>
    <w:basedOn w:val="35"/>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3">
    <w:name w:val="Medium Shading 1 Accent 3"/>
    <w:basedOn w:val="35"/>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4">
    <w:name w:val="Medium Shading 1 Accent 4"/>
    <w:basedOn w:val="35"/>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5">
    <w:name w:val="Medium Shading 1 Accent 5"/>
    <w:basedOn w:val="35"/>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6">
    <w:name w:val="Medium Shading 2 Accent 2"/>
    <w:basedOn w:val="35"/>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3"/>
    <w:basedOn w:val="35"/>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Shading 2 Accent 5"/>
    <w:basedOn w:val="35"/>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9">
    <w:name w:val="Medium Grid 1 Accent 3"/>
    <w:basedOn w:val="35"/>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0">
    <w:name w:val="Medium Grid 3 Accent 1"/>
    <w:basedOn w:val="35"/>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1">
    <w:name w:val="Medium Grid 3 Accent 3"/>
    <w:basedOn w:val="35"/>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2">
    <w:name w:val="Dark List Accent 3"/>
    <w:basedOn w:val="35"/>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3">
    <w:name w:val="Dark List Accent 4"/>
    <w:basedOn w:val="35"/>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4">
    <w:name w:val="Dark List Accent 5"/>
    <w:basedOn w:val="35"/>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5">
    <w:name w:val="Colorful Grid"/>
    <w:basedOn w:val="35"/>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6">
    <w:name w:val="Colorful Grid Accent 3"/>
    <w:basedOn w:val="35"/>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7">
    <w:name w:val="Colorful Grid Accent 5"/>
    <w:basedOn w:val="35"/>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9">
    <w:name w:val="Strong"/>
    <w:autoRedefine/>
    <w:qFormat/>
    <w:uiPriority w:val="22"/>
    <w:rPr>
      <w:b/>
      <w:bCs/>
    </w:rPr>
  </w:style>
  <w:style w:type="character" w:styleId="70">
    <w:name w:val="endnote reference"/>
    <w:basedOn w:val="68"/>
    <w:autoRedefine/>
    <w:semiHidden/>
    <w:unhideWhenUsed/>
    <w:qFormat/>
    <w:uiPriority w:val="99"/>
    <w:rPr>
      <w:vertAlign w:val="superscript"/>
    </w:rPr>
  </w:style>
  <w:style w:type="character" w:styleId="71">
    <w:name w:val="Emphasis"/>
    <w:autoRedefine/>
    <w:qFormat/>
    <w:uiPriority w:val="0"/>
    <w:rPr>
      <w:i/>
      <w:iCs/>
    </w:rPr>
  </w:style>
  <w:style w:type="character" w:styleId="72">
    <w:name w:val="Hyperlink"/>
    <w:autoRedefine/>
    <w:unhideWhenUsed/>
    <w:qFormat/>
    <w:uiPriority w:val="99"/>
    <w:rPr>
      <w:color w:val="0000FF"/>
      <w:u w:val="single"/>
    </w:rPr>
  </w:style>
  <w:style w:type="character" w:styleId="73">
    <w:name w:val="annotation reference"/>
    <w:autoRedefine/>
    <w:qFormat/>
    <w:uiPriority w:val="0"/>
    <w:rPr>
      <w:sz w:val="21"/>
      <w:szCs w:val="21"/>
    </w:rPr>
  </w:style>
  <w:style w:type="character" w:customStyle="1" w:styleId="74">
    <w:name w:val="页眉 字符"/>
    <w:basedOn w:val="68"/>
    <w:link w:val="22"/>
    <w:autoRedefine/>
    <w:qFormat/>
    <w:uiPriority w:val="99"/>
    <w:rPr>
      <w:sz w:val="18"/>
      <w:szCs w:val="18"/>
    </w:rPr>
  </w:style>
  <w:style w:type="character" w:customStyle="1" w:styleId="75">
    <w:name w:val="页脚 字符"/>
    <w:basedOn w:val="68"/>
    <w:link w:val="21"/>
    <w:autoRedefine/>
    <w:qFormat/>
    <w:uiPriority w:val="99"/>
    <w:rPr>
      <w:sz w:val="18"/>
      <w:szCs w:val="18"/>
    </w:rPr>
  </w:style>
  <w:style w:type="character" w:customStyle="1" w:styleId="76">
    <w:name w:val="标题 1 字符"/>
    <w:basedOn w:val="68"/>
    <w:autoRedefine/>
    <w:qFormat/>
    <w:uiPriority w:val="9"/>
    <w:rPr>
      <w:rFonts w:ascii="Times New Roman" w:hAnsi="Times New Roman" w:eastAsia="Times New Roman" w:cs="Times New Roman"/>
      <w:b/>
      <w:bCs/>
      <w:kern w:val="44"/>
      <w:sz w:val="44"/>
      <w:szCs w:val="44"/>
    </w:rPr>
  </w:style>
  <w:style w:type="character" w:customStyle="1" w:styleId="77">
    <w:name w:val="标题 2 字符"/>
    <w:basedOn w:val="68"/>
    <w:autoRedefine/>
    <w:qFormat/>
    <w:uiPriority w:val="9"/>
    <w:rPr>
      <w:rFonts w:asciiTheme="majorHAnsi" w:hAnsiTheme="majorHAnsi" w:eastAsiaTheme="majorEastAsia" w:cstheme="majorBidi"/>
      <w:b/>
      <w:bCs/>
      <w:sz w:val="32"/>
      <w:szCs w:val="32"/>
    </w:rPr>
  </w:style>
  <w:style w:type="character" w:customStyle="1" w:styleId="78">
    <w:name w:val="标题 3 字符"/>
    <w:basedOn w:val="68"/>
    <w:autoRedefine/>
    <w:qFormat/>
    <w:uiPriority w:val="9"/>
    <w:rPr>
      <w:rFonts w:ascii="Times New Roman" w:hAnsi="Times New Roman" w:eastAsia="Times New Roman" w:cs="Times New Roman"/>
      <w:b/>
      <w:bCs/>
      <w:sz w:val="32"/>
      <w:szCs w:val="32"/>
    </w:rPr>
  </w:style>
  <w:style w:type="character" w:customStyle="1" w:styleId="79">
    <w:name w:val="标题 4 字符"/>
    <w:basedOn w:val="68"/>
    <w:autoRedefine/>
    <w:qFormat/>
    <w:uiPriority w:val="9"/>
    <w:rPr>
      <w:rFonts w:asciiTheme="majorHAnsi" w:hAnsiTheme="majorHAnsi" w:eastAsiaTheme="majorEastAsia" w:cstheme="majorBidi"/>
      <w:b/>
      <w:bCs/>
      <w:sz w:val="28"/>
      <w:szCs w:val="28"/>
    </w:rPr>
  </w:style>
  <w:style w:type="character" w:customStyle="1" w:styleId="80">
    <w:name w:val="标题 5 字符"/>
    <w:basedOn w:val="68"/>
    <w:autoRedefine/>
    <w:qFormat/>
    <w:uiPriority w:val="9"/>
    <w:rPr>
      <w:rFonts w:ascii="Times New Roman" w:hAnsi="Times New Roman" w:eastAsia="Times New Roman" w:cs="Times New Roman"/>
      <w:b/>
      <w:bCs/>
      <w:sz w:val="28"/>
      <w:szCs w:val="28"/>
    </w:rPr>
  </w:style>
  <w:style w:type="character" w:customStyle="1" w:styleId="81">
    <w:name w:val="标题 6 字符"/>
    <w:basedOn w:val="68"/>
    <w:autoRedefine/>
    <w:qFormat/>
    <w:uiPriority w:val="9"/>
    <w:rPr>
      <w:rFonts w:asciiTheme="majorHAnsi" w:hAnsiTheme="majorHAnsi" w:eastAsiaTheme="majorEastAsia" w:cstheme="majorBidi"/>
      <w:b/>
      <w:bCs/>
      <w:sz w:val="24"/>
      <w:szCs w:val="24"/>
    </w:rPr>
  </w:style>
  <w:style w:type="character" w:customStyle="1" w:styleId="82">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3">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4">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5">
    <w:name w:val="标题 4 字符1"/>
    <w:link w:val="5"/>
    <w:autoRedefine/>
    <w:qFormat/>
    <w:uiPriority w:val="9"/>
    <w:rPr>
      <w:rFonts w:ascii="Frutiger" w:hAnsi="Frutiger" w:eastAsia="宋体"/>
      <w:b/>
      <w:bCs/>
      <w:sz w:val="26"/>
      <w:szCs w:val="26"/>
      <w:lang w:val="zh-CN" w:eastAsia="zh-CN"/>
    </w:rPr>
  </w:style>
  <w:style w:type="character" w:customStyle="1" w:styleId="86">
    <w:name w:val="标题 5 字符1"/>
    <w:link w:val="6"/>
    <w:autoRedefine/>
    <w:qFormat/>
    <w:uiPriority w:val="9"/>
    <w:rPr>
      <w:rFonts w:ascii="Frutiger" w:hAnsi="Frutiger" w:eastAsia="宋体"/>
      <w:b/>
      <w:bCs/>
      <w:sz w:val="28"/>
      <w:szCs w:val="28"/>
    </w:rPr>
  </w:style>
  <w:style w:type="character" w:customStyle="1" w:styleId="87">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8">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9">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90">
    <w:name w:val="页眉 Char"/>
    <w:autoRedefine/>
    <w:qFormat/>
    <w:uiPriority w:val="0"/>
    <w:rPr>
      <w:rFonts w:ascii="Arial Unicode MS" w:hAnsi="Arial Unicode MS" w:eastAsia="微软雅黑"/>
      <w:kern w:val="2"/>
      <w:sz w:val="18"/>
      <w:szCs w:val="22"/>
    </w:rPr>
  </w:style>
  <w:style w:type="character" w:customStyle="1" w:styleId="91">
    <w:name w:val="页脚 Char"/>
    <w:autoRedefine/>
    <w:qFormat/>
    <w:uiPriority w:val="99"/>
    <w:rPr>
      <w:rFonts w:ascii="Arial Unicode MS" w:hAnsi="Arial Unicode MS" w:eastAsia="微软雅黑"/>
      <w:kern w:val="2"/>
      <w:sz w:val="18"/>
      <w:szCs w:val="22"/>
    </w:rPr>
  </w:style>
  <w:style w:type="character" w:customStyle="1" w:styleId="92">
    <w:name w:val="文档结构图 字符1"/>
    <w:link w:val="11"/>
    <w:autoRedefine/>
    <w:qFormat/>
    <w:uiPriority w:val="0"/>
    <w:rPr>
      <w:rFonts w:eastAsia="Times New Roman"/>
      <w:szCs w:val="21"/>
      <w:shd w:val="clear" w:color="auto" w:fill="000080"/>
    </w:rPr>
  </w:style>
  <w:style w:type="character" w:customStyle="1" w:styleId="93">
    <w:name w:val="文档结构图 字符"/>
    <w:basedOn w:val="68"/>
    <w:autoRedefine/>
    <w:qFormat/>
    <w:uiPriority w:val="99"/>
    <w:rPr>
      <w:rFonts w:ascii="Microsoft YaHei UI" w:hAnsi="Times New Roman" w:eastAsia="Microsoft YaHei UI" w:cs="Times New Roman"/>
      <w:sz w:val="18"/>
      <w:szCs w:val="18"/>
    </w:rPr>
  </w:style>
  <w:style w:type="character" w:customStyle="1" w:styleId="94">
    <w:name w:val="文档结构图 Char1"/>
    <w:autoRedefine/>
    <w:qFormat/>
    <w:uiPriority w:val="99"/>
    <w:rPr>
      <w:rFonts w:ascii="宋体" w:hAnsi="Arial Unicode MS"/>
      <w:kern w:val="2"/>
      <w:sz w:val="18"/>
      <w:szCs w:val="18"/>
    </w:rPr>
  </w:style>
  <w:style w:type="character" w:customStyle="1" w:styleId="95">
    <w:name w:val="纯文本 字符"/>
    <w:basedOn w:val="68"/>
    <w:autoRedefine/>
    <w:qFormat/>
    <w:uiPriority w:val="99"/>
    <w:rPr>
      <w:rFonts w:hAnsi="Courier New" w:cs="Courier New" w:asciiTheme="minorEastAsia"/>
      <w:szCs w:val="21"/>
    </w:rPr>
  </w:style>
  <w:style w:type="paragraph" w:customStyle="1" w:styleId="96">
    <w:name w:val="_Style 48"/>
    <w:autoRedefine/>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
    <w:basedOn w:val="68"/>
    <w:autoRedefine/>
    <w:qFormat/>
    <w:uiPriority w:val="10"/>
    <w:rPr>
      <w:rFonts w:asciiTheme="majorHAnsi" w:hAnsiTheme="majorHAnsi" w:eastAsiaTheme="majorEastAsia" w:cstheme="majorBidi"/>
      <w:b/>
      <w:bCs/>
      <w:sz w:val="32"/>
      <w:szCs w:val="32"/>
    </w:rPr>
  </w:style>
  <w:style w:type="character" w:customStyle="1" w:styleId="99">
    <w:name w:val="标题 字符1"/>
    <w:link w:val="33"/>
    <w:autoRedefine/>
    <w:qFormat/>
    <w:uiPriority w:val="10"/>
    <w:rPr>
      <w:rFonts w:ascii="Cambria" w:hAnsi="Cambria" w:eastAsia="宋体" w:cs="Times New Roman"/>
      <w:b/>
      <w:bCs/>
      <w:sz w:val="32"/>
      <w:szCs w:val="32"/>
    </w:rPr>
  </w:style>
  <w:style w:type="paragraph" w:customStyle="1" w:styleId="100">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
    <w:basedOn w:val="68"/>
    <w:autoRedefine/>
    <w:qFormat/>
    <w:uiPriority w:val="11"/>
    <w:rPr>
      <w:b/>
      <w:bCs/>
      <w:kern w:val="28"/>
      <w:sz w:val="32"/>
      <w:szCs w:val="32"/>
    </w:rPr>
  </w:style>
  <w:style w:type="character" w:customStyle="1" w:styleId="102">
    <w:name w:val="副标题 字符1"/>
    <w:link w:val="26"/>
    <w:autoRedefine/>
    <w:qFormat/>
    <w:uiPriority w:val="11"/>
    <w:rPr>
      <w:rFonts w:ascii="Cambria" w:hAnsi="Cambria" w:eastAsia="宋体" w:cs="Times New Roman"/>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
    <w:basedOn w:val="68"/>
    <w:autoRedefine/>
    <w:qFormat/>
    <w:uiPriority w:val="99"/>
    <w:rPr>
      <w:rFonts w:ascii="Times New Roman" w:hAnsi="Times New Roman" w:eastAsia="Times New Roman" w:cs="Times New Roman"/>
      <w:sz w:val="18"/>
      <w:szCs w:val="18"/>
    </w:rPr>
  </w:style>
  <w:style w:type="character" w:customStyle="1" w:styleId="105">
    <w:name w:val="批注框文本 字符1"/>
    <w:link w:val="20"/>
    <w:autoRedefine/>
    <w:qFormat/>
    <w:uiPriority w:val="99"/>
    <w:rPr>
      <w:rFonts w:ascii="Arial" w:hAnsi="Arial" w:eastAsia="Times New Roman" w:cs="Arial"/>
      <w:kern w:val="0"/>
      <w:sz w:val="18"/>
      <w:szCs w:val="18"/>
      <w:lang w:eastAsia="en-US"/>
    </w:rPr>
  </w:style>
  <w:style w:type="table" w:customStyle="1" w:styleId="106">
    <w:name w:val="网格表 4 - 着色 11"/>
    <w:basedOn w:val="35"/>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character" w:customStyle="1" w:styleId="109">
    <w:name w:val="纯文本 字符1"/>
    <w:link w:val="16"/>
    <w:autoRedefine/>
    <w:qFormat/>
    <w:uiPriority w:val="0"/>
    <w:rPr>
      <w:rFonts w:ascii="宋体" w:hAnsi="Courier New" w:eastAsia="Times New Roman" w:cs="Courier New"/>
      <w:szCs w:val="21"/>
    </w:rPr>
  </w:style>
  <w:style w:type="table" w:customStyle="1" w:styleId="110">
    <w:name w:val="网格表 4 - 着色 12"/>
    <w:basedOn w:val="35"/>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1">
    <w:name w:val="网格表 5 深色 - 着色 11"/>
    <w:basedOn w:val="35"/>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2">
    <w:name w:val="正文文本 字符"/>
    <w:basedOn w:val="68"/>
    <w:autoRedefine/>
    <w:qFormat/>
    <w:uiPriority w:val="99"/>
    <w:rPr>
      <w:rFonts w:ascii="Times New Roman" w:hAnsi="Times New Roman" w:eastAsia="Times New Roman" w:cs="Times New Roman"/>
      <w:szCs w:val="21"/>
    </w:rPr>
  </w:style>
  <w:style w:type="character" w:customStyle="1" w:styleId="113">
    <w:name w:val="正文文本 字符1"/>
    <w:link w:val="13"/>
    <w:autoRedefine/>
    <w:qFormat/>
    <w:uiPriority w:val="1"/>
    <w:rPr>
      <w:rFonts w:ascii="Arial" w:hAnsi="Arial" w:eastAsia="Arial" w:cs="Arial"/>
      <w:kern w:val="0"/>
      <w:sz w:val="53"/>
      <w:szCs w:val="53"/>
      <w:lang w:eastAsia="en-US"/>
    </w:rPr>
  </w:style>
  <w:style w:type="paragraph" w:styleId="114">
    <w:name w:val="List Paragraph"/>
    <w:basedOn w:val="1"/>
    <w:link w:val="148"/>
    <w:autoRedefine/>
    <w:qFormat/>
    <w:uiPriority w:val="1"/>
    <w:pPr>
      <w:jc w:val="left"/>
    </w:pPr>
    <w:rPr>
      <w:rFonts w:eastAsia="Arial" w:cs="Arial"/>
      <w:kern w:val="0"/>
      <w:szCs w:val="22"/>
      <w:lang w:eastAsia="en-US"/>
    </w:rPr>
  </w:style>
  <w:style w:type="paragraph" w:customStyle="1" w:styleId="115">
    <w:name w:val="Table Paragraph"/>
    <w:basedOn w:val="1"/>
    <w:autoRedefine/>
    <w:qFormat/>
    <w:uiPriority w:val="1"/>
    <w:pPr>
      <w:jc w:val="left"/>
    </w:pPr>
    <w:rPr>
      <w:rFonts w:eastAsia="Arial" w:cs="Arial"/>
      <w:kern w:val="0"/>
      <w:szCs w:val="22"/>
      <w:lang w:eastAsia="en-US"/>
    </w:rPr>
  </w:style>
  <w:style w:type="character" w:customStyle="1" w:styleId="116">
    <w:name w:val="批注文字 字符"/>
    <w:basedOn w:val="68"/>
    <w:autoRedefine/>
    <w:qFormat/>
    <w:uiPriority w:val="99"/>
    <w:rPr>
      <w:rFonts w:ascii="Times New Roman" w:hAnsi="Times New Roman" w:eastAsia="Times New Roman" w:cs="Times New Roman"/>
      <w:szCs w:val="21"/>
    </w:rPr>
  </w:style>
  <w:style w:type="character" w:customStyle="1" w:styleId="117">
    <w:name w:val="批注文字 字符1"/>
    <w:link w:val="12"/>
    <w:autoRedefine/>
    <w:qFormat/>
    <w:uiPriority w:val="0"/>
    <w:rPr>
      <w:rFonts w:ascii="Times New Roman" w:hAnsi="Times New Roman" w:eastAsia="Times New Roman" w:cs="Times New Roman"/>
      <w:szCs w:val="21"/>
    </w:rPr>
  </w:style>
  <w:style w:type="character" w:customStyle="1" w:styleId="118">
    <w:name w:val="批注主题 字符"/>
    <w:basedOn w:val="116"/>
    <w:autoRedefine/>
    <w:qFormat/>
    <w:uiPriority w:val="99"/>
    <w:rPr>
      <w:rFonts w:ascii="Times New Roman" w:hAnsi="Times New Roman" w:eastAsia="Times New Roman" w:cs="Times New Roman"/>
      <w:b/>
      <w:bCs/>
      <w:szCs w:val="21"/>
    </w:rPr>
  </w:style>
  <w:style w:type="character" w:customStyle="1" w:styleId="119">
    <w:name w:val="批注主题 字符1"/>
    <w:link w:val="34"/>
    <w:autoRedefine/>
    <w:qFormat/>
    <w:uiPriority w:val="0"/>
    <w:rPr>
      <w:rFonts w:ascii="Times New Roman" w:hAnsi="Times New Roman" w:eastAsia="Times New Roman" w:cs="Times New Roman"/>
      <w:b/>
      <w:bCs/>
      <w:szCs w:val="21"/>
    </w:rPr>
  </w:style>
  <w:style w:type="character" w:customStyle="1" w:styleId="120">
    <w:name w:val="日期 字符"/>
    <w:basedOn w:val="68"/>
    <w:autoRedefine/>
    <w:qFormat/>
    <w:uiPriority w:val="99"/>
    <w:rPr>
      <w:rFonts w:ascii="Times New Roman" w:hAnsi="Times New Roman" w:eastAsia="Times New Roman" w:cs="Times New Roman"/>
      <w:szCs w:val="21"/>
    </w:rPr>
  </w:style>
  <w:style w:type="character" w:customStyle="1" w:styleId="121">
    <w:name w:val="日期 字符1"/>
    <w:link w:val="18"/>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8"/>
    <w:autoRedefine/>
    <w:qFormat/>
    <w:uiPriority w:val="0"/>
    <w:pPr>
      <w:ind w:left="842" w:hanging="422"/>
    </w:pPr>
    <w:rPr>
      <w:rFonts w:cs="宋体"/>
    </w:rPr>
  </w:style>
  <w:style w:type="paragraph" w:customStyle="1" w:styleId="125">
    <w:name w:val="样式 图表目录 + 左侧:  2 字符 悬挂缩进: 2 字符1"/>
    <w:basedOn w:val="28"/>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5"/>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5"/>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5"/>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8"/>
    <w:autoRedefine/>
    <w:semiHidden/>
    <w:unhideWhenUsed/>
    <w:qFormat/>
    <w:uiPriority w:val="99"/>
    <w:rPr>
      <w:color w:val="605E5C"/>
      <w:shd w:val="clear" w:color="auto" w:fill="E1DFDD"/>
    </w:rPr>
  </w:style>
  <w:style w:type="character" w:customStyle="1" w:styleId="139">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40">
    <w:name w:val="Style1"/>
    <w:link w:val="169"/>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1">
    <w:name w:val="尾注文本 字符"/>
    <w:basedOn w:val="68"/>
    <w:link w:val="19"/>
    <w:autoRedefine/>
    <w:semiHidden/>
    <w:qFormat/>
    <w:uiPriority w:val="99"/>
    <w:rPr>
      <w:rFonts w:ascii="Times New Roman" w:hAnsi="Times New Roman"/>
    </w:rPr>
  </w:style>
  <w:style w:type="character" w:customStyle="1" w:styleId="142">
    <w:name w:val="未处理的提及11"/>
    <w:basedOn w:val="68"/>
    <w:autoRedefine/>
    <w:semiHidden/>
    <w:unhideWhenUsed/>
    <w:qFormat/>
    <w:uiPriority w:val="99"/>
    <w:rPr>
      <w:color w:val="605E5C"/>
      <w:shd w:val="clear" w:color="auto" w:fill="E1DFDD"/>
    </w:rPr>
  </w:style>
  <w:style w:type="character" w:customStyle="1" w:styleId="143">
    <w:name w:val="未处理的提及2"/>
    <w:basedOn w:val="68"/>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8"/>
    <w:link w:val="144"/>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8"/>
    <w:link w:val="146"/>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8">
    <w:name w:val="列出段落 字符"/>
    <w:basedOn w:val="68"/>
    <w:link w:val="114"/>
    <w:autoRedefine/>
    <w:qFormat/>
    <w:uiPriority w:val="1"/>
    <w:rPr>
      <w:rFonts w:ascii="Arial" w:hAnsi="Arial" w:eastAsia="Arial" w:cs="Arial"/>
      <w:kern w:val="0"/>
      <w:sz w:val="22"/>
      <w:szCs w:val="22"/>
      <w:lang w:eastAsia="en-US"/>
    </w:rPr>
  </w:style>
  <w:style w:type="paragraph" w:customStyle="1" w:styleId="149">
    <w:name w:val="Figure Style"/>
    <w:basedOn w:val="114"/>
    <w:link w:val="151"/>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50">
    <w:name w:val="Figure Style Char"/>
    <w:basedOn w:val="148"/>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1">
    <w:name w:val="Figure Style 字符"/>
    <w:basedOn w:val="148"/>
    <w:link w:val="149"/>
    <w:autoRedefine/>
    <w:qFormat/>
    <w:uiPriority w:val="0"/>
    <w:rPr>
      <w:rFonts w:ascii="Tahoma" w:hAnsi="Tahoma" w:eastAsia="宋体" w:cs="Arial"/>
      <w:b/>
      <w:color w:val="FF8200"/>
      <w:kern w:val="0"/>
      <w:sz w:val="22"/>
      <w:szCs w:val="22"/>
      <w:lang w:eastAsia="en-US"/>
    </w:rPr>
  </w:style>
  <w:style w:type="paragraph" w:customStyle="1" w:styleId="152">
    <w:name w:val="Table Style"/>
    <w:basedOn w:val="114"/>
    <w:link w:val="153"/>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3">
    <w:name w:val="Table Style Char"/>
    <w:basedOn w:val="68"/>
    <w:link w:val="152"/>
    <w:autoRedefine/>
    <w:qFormat/>
    <w:uiPriority w:val="0"/>
    <w:rPr>
      <w:rFonts w:ascii="Frutiger" w:hAnsi="Frutiger" w:eastAsia="宋体"/>
      <w:b/>
      <w:color w:val="FF8200"/>
      <w:kern w:val="0"/>
      <w:szCs w:val="22"/>
      <w:lang w:val="en-IN" w:eastAsia="en-US"/>
    </w:rPr>
  </w:style>
  <w:style w:type="paragraph" w:customStyle="1" w:styleId="154">
    <w:name w:val="Table of Contents"/>
    <w:basedOn w:val="140"/>
    <w:link w:val="155"/>
    <w:autoRedefine/>
    <w:qFormat/>
    <w:uiPriority w:val="0"/>
    <w:pPr>
      <w:pageBreakBefore/>
      <w:jc w:val="both"/>
    </w:pPr>
    <w:rPr>
      <w:szCs w:val="20"/>
    </w:rPr>
  </w:style>
  <w:style w:type="character" w:customStyle="1" w:styleId="155">
    <w:name w:val="Table of Contents Char"/>
    <w:basedOn w:val="68"/>
    <w:link w:val="154"/>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6">
    <w:name w:val="Source Char"/>
    <w:basedOn w:val="68"/>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7">
    <w:name w:val="目录2"/>
    <w:basedOn w:val="29"/>
    <w:next w:val="29"/>
    <w:link w:val="159"/>
    <w:autoRedefine/>
    <w:qFormat/>
    <w:uiPriority w:val="0"/>
    <w:pPr>
      <w:tabs>
        <w:tab w:val="right" w:pos="9736"/>
      </w:tabs>
    </w:pPr>
  </w:style>
  <w:style w:type="character" w:customStyle="1" w:styleId="158">
    <w:name w:val="目录 2 字符"/>
    <w:basedOn w:val="68"/>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9">
    <w:name w:val="目录2 字符"/>
    <w:basedOn w:val="158"/>
    <w:link w:val="157"/>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60">
    <w:name w:val="未处理的提及3"/>
    <w:basedOn w:val="68"/>
    <w:autoRedefine/>
    <w:semiHidden/>
    <w:unhideWhenUsed/>
    <w:qFormat/>
    <w:uiPriority w:val="99"/>
    <w:rPr>
      <w:color w:val="605E5C"/>
      <w:shd w:val="clear" w:color="auto" w:fill="E1DFDD"/>
    </w:rPr>
  </w:style>
  <w:style w:type="table" w:customStyle="1" w:styleId="161">
    <w:name w:val="List Table 2 Accent 4"/>
    <w:basedOn w:val="35"/>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2">
    <w:name w:val="表格-lpi"/>
    <w:basedOn w:val="35"/>
    <w:autoRedefine/>
    <w:qFormat/>
    <w:uiPriority w:val="99"/>
    <w:rPr>
      <w:rFonts w:eastAsia="Times New Roman"/>
      <w:color w:val="00B050"/>
      <w:kern w:val="0"/>
      <w:sz w:val="20"/>
      <w:szCs w:val="20"/>
    </w:rPr>
  </w:style>
  <w:style w:type="character" w:customStyle="1" w:styleId="163">
    <w:name w:val="未处理的提及31"/>
    <w:basedOn w:val="68"/>
    <w:autoRedefine/>
    <w:semiHidden/>
    <w:unhideWhenUsed/>
    <w:qFormat/>
    <w:uiPriority w:val="99"/>
    <w:rPr>
      <w:color w:val="605E5C"/>
      <w:shd w:val="clear" w:color="auto" w:fill="E1DFDD"/>
    </w:rPr>
  </w:style>
  <w:style w:type="paragraph" w:customStyle="1" w:styleId="164">
    <w:name w:val="Paragraph"/>
    <w:basedOn w:val="1"/>
    <w:link w:val="165"/>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5">
    <w:name w:val="Paragraph Char"/>
    <w:basedOn w:val="68"/>
    <w:link w:val="164"/>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6">
    <w:name w:val="List Table 1 Light Accent 1"/>
    <w:basedOn w:val="35"/>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7">
    <w:name w:val="未处理的提及4"/>
    <w:basedOn w:val="68"/>
    <w:autoRedefine/>
    <w:semiHidden/>
    <w:unhideWhenUsed/>
    <w:qFormat/>
    <w:uiPriority w:val="99"/>
    <w:rPr>
      <w:color w:val="605E5C"/>
      <w:shd w:val="clear" w:color="auto" w:fill="E1DFDD"/>
    </w:rPr>
  </w:style>
  <w:style w:type="paragraph" w:customStyle="1" w:styleId="168">
    <w:name w:val="概述"/>
    <w:basedOn w:val="140"/>
    <w:link w:val="170"/>
    <w:autoRedefine/>
    <w:qFormat/>
    <w:uiPriority w:val="0"/>
    <w:pPr>
      <w:keepNext/>
      <w:spacing w:after="120"/>
    </w:pPr>
    <w:rPr>
      <w:rFonts w:ascii="Tahoma" w:hAnsi="Tahoma" w:eastAsia="宋体"/>
      <w:caps w:val="0"/>
      <w:color w:val="FF8200"/>
      <w:sz w:val="24"/>
    </w:rPr>
  </w:style>
  <w:style w:type="character" w:customStyle="1" w:styleId="169">
    <w:name w:val="Style1 字符"/>
    <w:basedOn w:val="68"/>
    <w:link w:val="140"/>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70">
    <w:name w:val="概述 字符"/>
    <w:basedOn w:val="169"/>
    <w:link w:val="168"/>
    <w:autoRedefine/>
    <w:qFormat/>
    <w:uiPriority w:val="0"/>
    <w:rPr>
      <w:rFonts w:ascii="Tahoma" w:hAnsi="Tahoma" w:eastAsia="宋体" w:cs="Calibri"/>
      <w:caps w:val="0"/>
      <w:color w:val="FF8200"/>
      <w:spacing w:val="-3"/>
      <w:kern w:val="0"/>
      <w:sz w:val="24"/>
      <w:szCs w:val="40"/>
      <w:lang w:eastAsia="en-IN"/>
    </w:rPr>
  </w:style>
  <w:style w:type="table" w:customStyle="1" w:styleId="171">
    <w:name w:val="彩色网格 - 强调文字颜色 51"/>
    <w:basedOn w:val="35"/>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2">
    <w:name w:val="彩色网格 - 强调文字颜色 31"/>
    <w:basedOn w:val="35"/>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3">
    <w:name w:val="深色列表 - 强调文字颜色 31"/>
    <w:basedOn w:val="35"/>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4">
    <w:name w:val="深色列表 - 强调文字颜色 41"/>
    <w:basedOn w:val="35"/>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5">
    <w:name w:val="深色列表 - 强调文字颜色 51"/>
    <w:basedOn w:val="35"/>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6">
    <w:name w:val="中等深浅底纹 1 - 强调文字颜色 41"/>
    <w:basedOn w:val="35"/>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7">
    <w:name w:val="浅色列表 - 强调文字颜色 31"/>
    <w:basedOn w:val="35"/>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8">
    <w:name w:val="浅色列表 - 强调文字颜色 21"/>
    <w:basedOn w:val="35"/>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9">
    <w:name w:val="浅色列表 - 强调文字颜色 41"/>
    <w:basedOn w:val="35"/>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80">
    <w:name w:val="中等深浅底纹 2 - 强调文字颜色 21"/>
    <w:basedOn w:val="35"/>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1">
    <w:name w:val="中等深浅底纹 1 - 强调文字颜色 21"/>
    <w:basedOn w:val="35"/>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2">
    <w:name w:val="中等深浅网格 3 - 强调文字颜色 11"/>
    <w:basedOn w:val="35"/>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3">
    <w:name w:val="中等深浅底纹 2 - 强调文字颜色 31"/>
    <w:basedOn w:val="35"/>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4">
    <w:name w:val="浅色列表 - 强调文字颜色 51"/>
    <w:basedOn w:val="35"/>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5">
    <w:name w:val="中等深浅网格 3 - 强调文字颜色 31"/>
    <w:basedOn w:val="35"/>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6">
    <w:name w:val="中等深浅网格 1 - 强调文字颜色 31"/>
    <w:basedOn w:val="35"/>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7">
    <w:name w:val="中等深浅底纹 1 - 强调文字颜色 31"/>
    <w:basedOn w:val="35"/>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8">
    <w:name w:val="中等深浅底纹 2 - 强调文字颜色 51"/>
    <w:basedOn w:val="35"/>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9">
    <w:name w:val="中等深浅底纹 1 - 强调文字颜色 51"/>
    <w:basedOn w:val="35"/>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90">
    <w:name w:val="中等深浅底纹 1 - 强调文字颜色 11"/>
    <w:basedOn w:val="35"/>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1">
    <w:name w:val="网格表 4 - 着色 52"/>
    <w:basedOn w:val="35"/>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2">
    <w:name w:val="未处理的提及41"/>
    <w:basedOn w:val="68"/>
    <w:autoRedefine/>
    <w:semiHidden/>
    <w:unhideWhenUsed/>
    <w:qFormat/>
    <w:uiPriority w:val="99"/>
    <w:rPr>
      <w:color w:val="605E5C"/>
      <w:shd w:val="clear" w:color="auto" w:fill="E1DFDD"/>
    </w:rPr>
  </w:style>
  <w:style w:type="character" w:customStyle="1" w:styleId="193">
    <w:name w:val="标题 7 字符"/>
    <w:basedOn w:val="68"/>
    <w:link w:val="8"/>
    <w:autoRedefine/>
    <w:qFormat/>
    <w:uiPriority w:val="9"/>
    <w:rPr>
      <w:rFonts w:ascii="Book Antiqua" w:hAnsi="Book Antiqua" w:eastAsia="宋体"/>
      <w:b/>
      <w:bCs/>
      <w:color w:val="1A1A1A" w:themeColor="background1" w:themeShade="1A"/>
      <w:szCs w:val="24"/>
    </w:rPr>
  </w:style>
  <w:style w:type="character" w:customStyle="1" w:styleId="194">
    <w:name w:val="标题 8 字符"/>
    <w:basedOn w:val="68"/>
    <w:link w:val="9"/>
    <w:autoRedefine/>
    <w:semiHidden/>
    <w:qFormat/>
    <w:uiPriority w:val="9"/>
    <w:rPr>
      <w:rFonts w:asciiTheme="majorHAnsi" w:hAnsiTheme="majorHAnsi" w:eastAsiaTheme="majorEastAsia" w:cstheme="majorBidi"/>
      <w:sz w:val="24"/>
      <w:szCs w:val="24"/>
    </w:rPr>
  </w:style>
  <w:style w:type="character" w:customStyle="1" w:styleId="195">
    <w:name w:val="未处理的提及5"/>
    <w:basedOn w:val="68"/>
    <w:autoRedefine/>
    <w:semiHidden/>
    <w:unhideWhenUsed/>
    <w:qFormat/>
    <w:uiPriority w:val="99"/>
    <w:rPr>
      <w:color w:val="605E5C"/>
      <w:shd w:val="clear" w:color="auto" w:fill="E1DFDD"/>
    </w:rPr>
  </w:style>
  <w:style w:type="table" w:customStyle="1" w:styleId="196">
    <w:name w:val="List Table 2 Accent 2"/>
    <w:basedOn w:val="35"/>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7">
    <w:name w:val="lpi 专用"/>
    <w:basedOn w:val="198"/>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w:basedOn w:val="35"/>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9">
    <w:name w:val="Grid Table 2 Accent 4"/>
    <w:basedOn w:val="35"/>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200">
    <w:name w:val="Grid Table 2 Accent 5"/>
    <w:basedOn w:val="35"/>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1">
    <w:name w:val="季度-样式"/>
    <w:basedOn w:val="35"/>
    <w:autoRedefine/>
    <w:qFormat/>
    <w:uiPriority w:val="99"/>
  </w:style>
  <w:style w:type="table" w:customStyle="1" w:styleId="202">
    <w:name w:val="List Table 2 Accent 5"/>
    <w:basedOn w:val="35"/>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3">
    <w:name w:val="List Table 1 Light Accent 5"/>
    <w:basedOn w:val="35"/>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4">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5">
    <w:name w:val="Unresolved Mention"/>
    <w:basedOn w:val="68"/>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image" Target="media/image4.png"/><Relationship Id="rId12" Type="http://schemas.openxmlformats.org/officeDocument/2006/relationships/chart" Target="charts/chart3.xml"/><Relationship Id="rId11" Type="http://schemas.openxmlformats.org/officeDocument/2006/relationships/image" Target="media/image3.png"/><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istrator\Desktop\&#35266;&#28857;&#25968;&#25454;&#22270;&#34920;&#27169;&#26495;-&#27169;&#26495;%2020231106.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35266;&#28857;&#25968;&#25454;&#22270;&#34920;&#27169;&#26495;-&#27169;&#26495;%2020231106.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35266;&#28857;&#25968;&#25454;&#22270;&#34920;&#27169;&#26495;-&#27169;&#26495;%2020231106.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35266;&#28857;&#25968;&#25454;&#22270;&#34920;&#27169;&#26495;-&#27169;&#26495;%2020231106.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35266;&#28857;&#25968;&#25454;&#22270;&#34920;&#27169;&#26495;-&#27169;&#26495;%2020231106.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35266;&#28857;&#25968;&#25454;&#22270;&#34920;&#27169;&#26495;-&#27169;&#26495;%202023110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2019</c:v>
                </c:pt>
                <c:pt idx="1">
                  <c:v>2023</c:v>
                </c:pt>
                <c:pt idx="2">
                  <c:v>2030</c:v>
                </c:pt>
              </c:numCache>
            </c:numRef>
          </c:cat>
          <c:val>
            <c:numRef>
              <c:f>全球总体!$B$22:$D$22</c:f>
              <c:numCache>
                <c:formatCode>#,##0_ </c:formatCode>
                <c:ptCount val="3"/>
                <c:pt idx="0">
                  <c:v>90.93</c:v>
                </c:pt>
                <c:pt idx="1">
                  <c:v>59.69</c:v>
                </c:pt>
                <c:pt idx="2">
                  <c:v>112.46</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2023</c:v>
                </c:pt>
              </c:strCache>
            </c:strRef>
          </c:tx>
          <c:spPr/>
          <c:invertIfNegative val="0"/>
          <c:dPt>
            <c:idx val="0"/>
            <c:invertIfNegative val="0"/>
            <c:bubble3D val="0"/>
            <c:spPr>
              <a:solidFill>
                <a:schemeClr val="accent1"/>
              </a:solidFill>
              <a:ln>
                <a:noFill/>
              </a:ln>
              <a:effectLst/>
            </c:spPr>
          </c:dPt>
          <c:dLbls>
            <c:delete val="1"/>
          </c:dLbls>
          <c:cat>
            <c:strRef>
              <c:f>企业排序!$F$2</c:f>
              <c:strCache>
                <c:ptCount val="1"/>
                <c:pt idx="0">
                  <c:v>BASF</c:v>
                </c:pt>
              </c:strCache>
            </c:strRef>
          </c:cat>
          <c:val>
            <c:numRef>
              <c:f>企业排序!$G$2</c:f>
              <c:numCache>
                <c:formatCode>#,##0.00_ </c:formatCode>
                <c:ptCount val="1"/>
                <c:pt idx="0">
                  <c:v>55.07</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395061729"/>
          <c:y val="0.0400506535947712"/>
          <c:w val="0.897009594053696"/>
          <c:h val="0.755441666666667"/>
        </c:manualLayout>
      </c:layout>
      <c:barChart>
        <c:barDir val="col"/>
        <c:grouping val="stacked"/>
        <c:varyColors val="0"/>
        <c:ser>
          <c:idx val="0"/>
          <c:order val="0"/>
          <c:tx>
            <c:strRef>
              <c:f>应用!$A$2</c:f>
              <c:strCache>
                <c:ptCount val="1"/>
                <c:pt idx="0">
                  <c:v>0.995</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86.22</c:v>
                </c:pt>
                <c:pt idx="1">
                  <c:v>85.38</c:v>
                </c:pt>
                <c:pt idx="2">
                  <c:v>92.46</c:v>
                </c:pt>
                <c:pt idx="3">
                  <c:v>65.64</c:v>
                </c:pt>
                <c:pt idx="4">
                  <c:v>56.21</c:v>
                </c:pt>
                <c:pt idx="5">
                  <c:v>60.98</c:v>
                </c:pt>
                <c:pt idx="6">
                  <c:v>72.01</c:v>
                </c:pt>
                <c:pt idx="7">
                  <c:v>78.6</c:v>
                </c:pt>
                <c:pt idx="8">
                  <c:v>85.27</c:v>
                </c:pt>
                <c:pt idx="9">
                  <c:v>91.87</c:v>
                </c:pt>
                <c:pt idx="10">
                  <c:v>98.44</c:v>
                </c:pt>
                <c:pt idx="11">
                  <c:v>104.87</c:v>
                </c:pt>
              </c:numCache>
            </c:numRef>
          </c:val>
        </c:ser>
        <c:ser>
          <c:idx val="1"/>
          <c:order val="1"/>
          <c:tx>
            <c:strRef>
              <c:f>应用!$A$3</c:f>
              <c:strCache>
                <c:ptCount val="1"/>
                <c:pt idx="0">
                  <c:v>其他</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4.71</c:v>
                </c:pt>
                <c:pt idx="1">
                  <c:v>4.8</c:v>
                </c:pt>
                <c:pt idx="2">
                  <c:v>5.31</c:v>
                </c:pt>
                <c:pt idx="3">
                  <c:v>3.93</c:v>
                </c:pt>
                <c:pt idx="4">
                  <c:v>3.48</c:v>
                </c:pt>
                <c:pt idx="5">
                  <c:v>3.89</c:v>
                </c:pt>
                <c:pt idx="6">
                  <c:v>4.68</c:v>
                </c:pt>
                <c:pt idx="7">
                  <c:v>5.17</c:v>
                </c:pt>
                <c:pt idx="8">
                  <c:v>5.73</c:v>
                </c:pt>
                <c:pt idx="9">
                  <c:v>6.37</c:v>
                </c:pt>
                <c:pt idx="10">
                  <c:v>6.91</c:v>
                </c:pt>
                <c:pt idx="11">
                  <c:v>7.59</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253777777777778"/>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化学中间体</c:v>
                </c:pt>
              </c:strCache>
            </c:strRef>
          </c:tx>
          <c:spPr>
            <a:solidFill>
              <a:srgbClr val="002060"/>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分类!$B$2:$M$2</c:f>
              <c:numCache>
                <c:formatCode>#,##0_);[Red]\(#,##0\)</c:formatCode>
                <c:ptCount val="12"/>
                <c:pt idx="0">
                  <c:v>57.65</c:v>
                </c:pt>
                <c:pt idx="1">
                  <c:v>56.89</c:v>
                </c:pt>
                <c:pt idx="2">
                  <c:v>61.16</c:v>
                </c:pt>
                <c:pt idx="3">
                  <c:v>42.85</c:v>
                </c:pt>
                <c:pt idx="4">
                  <c:v>36.67</c:v>
                </c:pt>
                <c:pt idx="5">
                  <c:v>39.57</c:v>
                </c:pt>
                <c:pt idx="6">
                  <c:v>46.39</c:v>
                </c:pt>
                <c:pt idx="7">
                  <c:v>50.32</c:v>
                </c:pt>
                <c:pt idx="8">
                  <c:v>54.28</c:v>
                </c:pt>
                <c:pt idx="9">
                  <c:v>58.44</c:v>
                </c:pt>
                <c:pt idx="10">
                  <c:v>62.35</c:v>
                </c:pt>
                <c:pt idx="11">
                  <c:v>65.96</c:v>
                </c:pt>
              </c:numCache>
            </c:numRef>
          </c:val>
        </c:ser>
        <c:ser>
          <c:idx val="1"/>
          <c:order val="1"/>
          <c:tx>
            <c:strRef>
              <c:f>分类!$A$3</c:f>
              <c:strCache>
                <c:ptCount val="1"/>
                <c:pt idx="0">
                  <c:v>工业溶剂稳定剂</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分类!$B$3:$M$3</c:f>
              <c:numCache>
                <c:formatCode>#,##0_);[Red]\(#,##0\)</c:formatCode>
                <c:ptCount val="12"/>
                <c:pt idx="0">
                  <c:v>15.35</c:v>
                </c:pt>
                <c:pt idx="1">
                  <c:v>15.28</c:v>
                </c:pt>
                <c:pt idx="2">
                  <c:v>16.66</c:v>
                </c:pt>
                <c:pt idx="3">
                  <c:v>11.88</c:v>
                </c:pt>
                <c:pt idx="4">
                  <c:v>10.2</c:v>
                </c:pt>
                <c:pt idx="5">
                  <c:v>11.11</c:v>
                </c:pt>
                <c:pt idx="6">
                  <c:v>13.24</c:v>
                </c:pt>
                <c:pt idx="7">
                  <c:v>14.49</c:v>
                </c:pt>
                <c:pt idx="8">
                  <c:v>15.86</c:v>
                </c:pt>
                <c:pt idx="9">
                  <c:v>17.21</c:v>
                </c:pt>
                <c:pt idx="10">
                  <c:v>18.49</c:v>
                </c:pt>
                <c:pt idx="11">
                  <c:v>19.82</c:v>
                </c:pt>
              </c:numCache>
            </c:numRef>
          </c:val>
        </c:ser>
        <c:ser>
          <c:idx val="2"/>
          <c:order val="2"/>
          <c:tx>
            <c:strRef>
              <c:f>分类!$A$4</c:f>
              <c:strCache>
                <c:ptCount val="1"/>
                <c:pt idx="0">
                  <c:v>非离子表面活性剂</c:v>
                </c:pt>
              </c:strCache>
            </c:strRef>
          </c:tx>
          <c:spPr>
            <a:solidFill>
              <a:schemeClr val="accent3"/>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分类!$B$4:$M$4</c:f>
              <c:numCache>
                <c:formatCode>#,##0_);[Red]\(#,##0\)</c:formatCode>
                <c:ptCount val="12"/>
                <c:pt idx="0">
                  <c:v>9.97</c:v>
                </c:pt>
                <c:pt idx="1">
                  <c:v>9.97</c:v>
                </c:pt>
                <c:pt idx="2">
                  <c:v>10.98</c:v>
                </c:pt>
                <c:pt idx="3">
                  <c:v>8.12</c:v>
                </c:pt>
                <c:pt idx="4">
                  <c:v>7.03</c:v>
                </c:pt>
                <c:pt idx="5">
                  <c:v>7.75</c:v>
                </c:pt>
                <c:pt idx="6">
                  <c:v>9.34</c:v>
                </c:pt>
                <c:pt idx="7">
                  <c:v>10.27</c:v>
                </c:pt>
                <c:pt idx="8">
                  <c:v>11.3</c:v>
                </c:pt>
                <c:pt idx="9">
                  <c:v>12.23</c:v>
                </c:pt>
                <c:pt idx="10">
                  <c:v>13.23</c:v>
                </c:pt>
                <c:pt idx="11">
                  <c:v>14.4</c:v>
                </c:pt>
              </c:numCache>
            </c:numRef>
          </c:val>
        </c:ser>
        <c:ser>
          <c:idx val="3"/>
          <c:order val="3"/>
          <c:tx>
            <c:strRef>
              <c:f>分类!$A$5</c:f>
              <c:strCache>
                <c:ptCount val="1"/>
                <c:pt idx="0">
                  <c:v>其他</c:v>
                </c:pt>
              </c:strCache>
            </c:strRef>
          </c:tx>
          <c:spPr>
            <a:solidFill>
              <a:schemeClr val="accent4"/>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分类!$B$5:$M$5</c:f>
              <c:numCache>
                <c:formatCode>#,##0_);[Red]\(#,##0\)</c:formatCode>
                <c:ptCount val="12"/>
                <c:pt idx="0">
                  <c:v>7.96</c:v>
                </c:pt>
                <c:pt idx="1">
                  <c:v>8.04</c:v>
                </c:pt>
                <c:pt idx="2">
                  <c:v>8.97</c:v>
                </c:pt>
                <c:pt idx="3">
                  <c:v>6.72</c:v>
                </c:pt>
                <c:pt idx="4">
                  <c:v>5.79</c:v>
                </c:pt>
                <c:pt idx="5">
                  <c:v>6.44</c:v>
                </c:pt>
                <c:pt idx="6">
                  <c:v>7.72</c:v>
                </c:pt>
                <c:pt idx="7">
                  <c:v>8.69</c:v>
                </c:pt>
                <c:pt idx="8">
                  <c:v>9.56</c:v>
                </c:pt>
                <c:pt idx="9">
                  <c:v>10.36</c:v>
                </c:pt>
                <c:pt idx="10">
                  <c:v>11.28</c:v>
                </c:pt>
                <c:pt idx="11">
                  <c:v>12.28</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550037037037037"/>
          <c:h val="0.0593423830786589"/>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2023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'地区-消费'!$AD$2:$AD$5</c:f>
              <c:strCache>
                <c:ptCount val="4"/>
                <c:pt idx="0">
                  <c:v>欧洲</c:v>
                </c:pt>
                <c:pt idx="1">
                  <c:v>亚太地区</c:v>
                </c:pt>
                <c:pt idx="2">
                  <c:v>美洲</c:v>
                </c:pt>
                <c:pt idx="3">
                  <c:v>中东和非洲</c:v>
                </c:pt>
              </c:strCache>
            </c:strRef>
          </c:cat>
          <c:val>
            <c:numRef>
              <c:f>'地区-消费'!$AE$2:$AE$5</c:f>
              <c:numCache>
                <c:formatCode>#,##0_);[Red]\(#,##0\)</c:formatCode>
                <c:ptCount val="4"/>
                <c:pt idx="0">
                  <c:v>36.62</c:v>
                </c:pt>
                <c:pt idx="1">
                  <c:v>24.66</c:v>
                </c:pt>
                <c:pt idx="2">
                  <c:v>27.5</c:v>
                </c:pt>
                <c:pt idx="3">
                  <c:v>2.15</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'地区-消费'!$AD$2:$AD$5</c:f>
              <c:strCache>
                <c:ptCount val="4"/>
                <c:pt idx="0">
                  <c:v>欧洲</c:v>
                </c:pt>
                <c:pt idx="1">
                  <c:v>亚太地区</c:v>
                </c:pt>
                <c:pt idx="2">
                  <c:v>美洲</c:v>
                </c:pt>
                <c:pt idx="3">
                  <c:v>中东和非洲</c:v>
                </c:pt>
              </c:strCache>
            </c:strRef>
          </c:cat>
          <c:val>
            <c:numRef>
              <c:f>'地区-消费'!$AF$2:$AF$5</c:f>
              <c:numCache>
                <c:formatCode>#,##0_);[Red]\(#,##0\)</c:formatCode>
                <c:ptCount val="4"/>
                <c:pt idx="0">
                  <c:v>21.81</c:v>
                </c:pt>
                <c:pt idx="1">
                  <c:v>19.01</c:v>
                </c:pt>
                <c:pt idx="2">
                  <c:v>17.65</c:v>
                </c:pt>
                <c:pt idx="3">
                  <c:v>1.22</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'地区-消费'!$AD$2:$AD$5</c:f>
              <c:strCache>
                <c:ptCount val="4"/>
                <c:pt idx="0">
                  <c:v>欧洲</c:v>
                </c:pt>
                <c:pt idx="1">
                  <c:v>亚太地区</c:v>
                </c:pt>
                <c:pt idx="2">
                  <c:v>美洲</c:v>
                </c:pt>
                <c:pt idx="3">
                  <c:v>中东和非洲</c:v>
                </c:pt>
              </c:strCache>
            </c:strRef>
          </c:cat>
          <c:val>
            <c:numRef>
              <c:f>'地区-消费'!$AG$2:$AG$5</c:f>
              <c:numCache>
                <c:formatCode>#,##0_);[Red]\(#,##0\)</c:formatCode>
                <c:ptCount val="4"/>
                <c:pt idx="0">
                  <c:v>24.79</c:v>
                </c:pt>
                <c:pt idx="1">
                  <c:v>59.7</c:v>
                </c:pt>
                <c:pt idx="2">
                  <c:v>26.59</c:v>
                </c:pt>
                <c:pt idx="3">
                  <c:v>1.38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欧洲</c:v>
                </c:pt>
              </c:strCache>
            </c:strRef>
          </c:tx>
          <c:spPr>
            <a:solidFill>
              <a:srgbClr val="00206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'地区-消费'!$B$2:$M$2</c:f>
              <c:numCache>
                <c:formatCode>#,##0_);[Red]\(#,##0\)</c:formatCode>
                <c:ptCount val="12"/>
                <c:pt idx="0">
                  <c:v>36.62</c:v>
                </c:pt>
                <c:pt idx="1">
                  <c:v>35.68</c:v>
                </c:pt>
                <c:pt idx="2">
                  <c:v>38.55</c:v>
                </c:pt>
                <c:pt idx="3">
                  <c:v>27.31</c:v>
                </c:pt>
                <c:pt idx="4">
                  <c:v>21.81</c:v>
                </c:pt>
                <c:pt idx="5">
                  <c:v>20.49</c:v>
                </c:pt>
                <c:pt idx="6">
                  <c:v>21.51</c:v>
                </c:pt>
                <c:pt idx="7">
                  <c:v>23.01</c:v>
                </c:pt>
                <c:pt idx="8">
                  <c:v>23.66</c:v>
                </c:pt>
                <c:pt idx="9">
                  <c:v>24.35</c:v>
                </c:pt>
                <c:pt idx="10">
                  <c:v>24.69</c:v>
                </c:pt>
                <c:pt idx="11">
                  <c:v>24.79</c:v>
                </c:pt>
              </c:numCache>
            </c:numRef>
          </c:val>
        </c:ser>
        <c:ser>
          <c:idx val="1"/>
          <c:order val="1"/>
          <c:tx>
            <c:strRef>
              <c:f>'地区-消费'!$A$3</c:f>
              <c:strCache>
                <c:ptCount val="1"/>
                <c:pt idx="0">
                  <c:v>亚太地区</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'地区-消费'!$B$3:$M$3</c:f>
              <c:numCache>
                <c:formatCode>#,##0_);[Red]\(#,##0\)</c:formatCode>
                <c:ptCount val="12"/>
                <c:pt idx="0">
                  <c:v>24.66</c:v>
                </c:pt>
                <c:pt idx="1">
                  <c:v>25.02</c:v>
                </c:pt>
                <c:pt idx="2">
                  <c:v>27.24</c:v>
                </c:pt>
                <c:pt idx="3">
                  <c:v>19.46</c:v>
                </c:pt>
                <c:pt idx="4">
                  <c:v>19.01</c:v>
                </c:pt>
                <c:pt idx="5">
                  <c:v>26.65</c:v>
                </c:pt>
                <c:pt idx="6">
                  <c:v>36.34</c:v>
                </c:pt>
                <c:pt idx="7">
                  <c:v>40.18</c:v>
                </c:pt>
                <c:pt idx="8">
                  <c:v>44.84</c:v>
                </c:pt>
                <c:pt idx="9">
                  <c:v>49.46</c:v>
                </c:pt>
                <c:pt idx="10">
                  <c:v>54.43</c:v>
                </c:pt>
                <c:pt idx="11">
                  <c:v>59.7</c:v>
                </c:pt>
              </c:numCache>
            </c:numRef>
          </c:val>
        </c:ser>
        <c:ser>
          <c:idx val="2"/>
          <c:order val="2"/>
          <c:tx>
            <c:strRef>
              <c:f>'地区-消费'!$A$4</c:f>
              <c:strCache>
                <c:ptCount val="1"/>
                <c:pt idx="0">
                  <c:v>美洲</c:v>
                </c:pt>
              </c:strCache>
            </c:strRef>
          </c:tx>
          <c:spPr>
            <a:solidFill>
              <a:srgbClr val="0070C0"/>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'地区-消费'!$B$4:$M$4</c:f>
              <c:numCache>
                <c:formatCode>#,##0_);[Red]\(#,##0\)</c:formatCode>
                <c:ptCount val="12"/>
                <c:pt idx="0">
                  <c:v>27.5</c:v>
                </c:pt>
                <c:pt idx="1">
                  <c:v>27.4</c:v>
                </c:pt>
                <c:pt idx="2">
                  <c:v>29.75</c:v>
                </c:pt>
                <c:pt idx="3">
                  <c:v>21.23</c:v>
                </c:pt>
                <c:pt idx="4">
                  <c:v>17.65</c:v>
                </c:pt>
                <c:pt idx="5">
                  <c:v>16.7</c:v>
                </c:pt>
                <c:pt idx="6">
                  <c:v>17.77</c:v>
                </c:pt>
                <c:pt idx="7">
                  <c:v>19.46</c:v>
                </c:pt>
                <c:pt idx="8">
                  <c:v>21.29</c:v>
                </c:pt>
                <c:pt idx="9">
                  <c:v>23.15</c:v>
                </c:pt>
                <c:pt idx="10">
                  <c:v>24.89</c:v>
                </c:pt>
                <c:pt idx="11">
                  <c:v>26.59</c:v>
                </c:pt>
              </c:numCache>
            </c:numRef>
          </c:val>
        </c:ser>
        <c:ser>
          <c:idx val="3"/>
          <c:order val="3"/>
          <c:tx>
            <c:strRef>
              <c:f>'地区-消费'!$A$5</c:f>
              <c:strCache>
                <c:ptCount val="1"/>
                <c:pt idx="0">
                  <c:v>中东和非洲</c:v>
                </c:pt>
              </c:strCache>
            </c:strRef>
          </c:tx>
          <c:spPr>
            <a:solidFill>
              <a:schemeClr val="accent4"/>
            </a:solidFill>
            <a:ln>
              <a:noFill/>
            </a:ln>
            <a:effectLst/>
          </c:spPr>
          <c:invertIfNegative val="0"/>
          <c:dLbls>
            <c:delete val="1"/>
          </c:dLbls>
          <c:cat>
            <c:numRef>
              <c:f>'地区-消费'!$B$1:$M$1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'地区-消费'!$B$5:$M$5</c:f>
              <c:numCache>
                <c:formatCode>#,##0_);[Red]\(#,##0\)</c:formatCode>
                <c:ptCount val="12"/>
                <c:pt idx="0">
                  <c:v>2.15</c:v>
                </c:pt>
                <c:pt idx="1">
                  <c:v>2.08</c:v>
                </c:pt>
                <c:pt idx="2">
                  <c:v>2.23</c:v>
                </c:pt>
                <c:pt idx="3">
                  <c:v>1.57</c:v>
                </c:pt>
                <c:pt idx="4">
                  <c:v>1.22</c:v>
                </c:pt>
                <c:pt idx="5">
                  <c:v>1.03</c:v>
                </c:pt>
                <c:pt idx="6">
                  <c:v>1.07</c:v>
                </c:pt>
                <c:pt idx="7">
                  <c:v>1.12</c:v>
                </c:pt>
                <c:pt idx="8">
                  <c:v>1.21</c:v>
                </c:pt>
                <c:pt idx="9">
                  <c:v>1.28</c:v>
                </c:pt>
                <c:pt idx="10">
                  <c:v>1.34</c:v>
                </c:pt>
                <c:pt idx="11">
                  <c:v>1.38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0.55792</cdr:x>
      <cdr:y>0.17734</cdr:y>
    </cdr:from>
    <cdr:to>
      <cdr:x>0.73777</cdr:x>
      <cdr:y>0.51791</cdr:y>
    </cdr:to>
    <cdr:grpSp>
      <cdr:nvGrpSpPr>
        <cdr:cNvPr id="2" name="组合 1"/>
        <cdr:cNvGrpSpPr/>
      </cdr:nvGrpSpPr>
      <cdr:grpSpPr xmlns:a="http://schemas.openxmlformats.org/drawingml/2006/main">
        <a:xfrm rot="915252">
          <a:off x="3452805" y="520825"/>
          <a:ext cx="1113039" cy="1000212"/>
          <a:chOff x="2835696" y="921585"/>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35696" y="921585"/>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877842" y="1302702"/>
            <a:ext cx="609542" cy="150296"/>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mn-ea"/>
              </a:rPr>
              <a:t>9.6% </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0.26551</cdr:x>
      <cdr:y>0.20938</cdr:y>
    </cdr:from>
    <cdr:to>
      <cdr:x>0.41892</cdr:x>
      <cdr:y>0.64213</cdr:y>
    </cdr:to>
    <cdr:grpSp>
      <cdr:nvGrpSpPr>
        <cdr:cNvPr id="5" name="组合 4"/>
        <cdr:cNvGrpSpPr/>
      </cdr:nvGrpSpPr>
      <cdr:grpSpPr xmlns:a="http://schemas.openxmlformats.org/drawingml/2006/main">
        <a:xfrm rot="4245305">
          <a:off x="1482403" y="775684"/>
          <a:ext cx="1270933" cy="949410"/>
          <a:chOff x="2845208" y="1159289"/>
          <a:chExt cx="1010935" cy="960507"/>
        </a:xfrm>
      </cdr:grpSpPr>
      <cdr:cxnSp>
        <cdr:nvCxnSpPr>
          <cdr:cNvPr id="6" name="直接箭头连接符 5"/>
          <cdr:cNvCxnSpPr/>
        </cdr:nvCxnSpPr>
        <cdr:spPr xmlns:a="http://schemas.openxmlformats.org/drawingml/2006/main">
          <a:xfrm xmlns:a="http://schemas.openxmlformats.org/drawingml/2006/main" rot="19816677" flipV="1">
            <a:off x="2845208" y="1417452"/>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2874188" y="1554795"/>
            <a:ext cx="960507" cy="1694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-10.0% </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AE6AA2-9D31-4B33-BC5A-2772457D7D6A}">
  <ds:schemaRefs/>
</ds:datastoreItem>
</file>

<file path=docProps/app.xml><?xml version="1.0" encoding="utf-8"?>
<Properties xmlns="http://schemas.openxmlformats.org/officeDocument/2006/extended-properties" xmlns:vt="http://schemas.openxmlformats.org/officeDocument/2006/docPropsVTypes">
  <Template>Normal</Template>
  <Pages>7</Pages>
  <Words>364</Words>
  <Characters>2080</Characters>
  <Lines>17</Lines>
  <Paragraphs>4</Paragraphs>
  <TotalTime>660</TotalTime>
  <ScaleCrop>false</ScaleCrop>
  <LinksUpToDate>false</LinksUpToDate>
  <CharactersWithSpaces>2440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2024-05-06T07:02:44Z</dcterms:modified>
  <cp:revision>817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829695E7800E46309452F6E234760FAA_12</vt:lpwstr>
  </property>
</Properties>
</file>