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79CBEB">
      <w:pPr>
        <w:pStyle w:val="2"/>
        <w:bidi w:val="0"/>
        <w:rPr>
          <w:rFonts w:hint="eastAsia" w:ascii="楷体" w:hAnsi="楷体" w:eastAsia="楷体" w:cs="楷体"/>
          <w:sz w:val="44"/>
          <w:szCs w:val="44"/>
        </w:rPr>
      </w:pPr>
      <w:bookmarkStart w:id="0" w:name="_GoBack"/>
      <w:r>
        <w:rPr>
          <w:rFonts w:hint="eastAsia" w:ascii="楷体" w:hAnsi="楷体" w:eastAsia="楷体" w:cs="楷体"/>
          <w:sz w:val="44"/>
          <w:szCs w:val="44"/>
        </w:rPr>
        <w:t>揭秘自免领域的“网红因子”：IL-17，为何成为全球药企争抢的黄金靶点？</w:t>
      </w:r>
    </w:p>
    <w:bookmarkEnd w:id="0"/>
    <w:p w14:paraId="213D6A20">
      <w:pPr>
        <w:rPr>
          <w:rFonts w:hint="eastAsia" w:ascii="楷体" w:hAnsi="楷体" w:eastAsia="楷体" w:cs="楷体"/>
          <w:sz w:val="28"/>
          <w:szCs w:val="28"/>
        </w:rPr>
      </w:pPr>
    </w:p>
    <w:p w14:paraId="12051E2A">
      <w:pPr>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5266690" cy="2438400"/>
            <wp:effectExtent l="0" t="0" r="10160" b="0"/>
            <wp:docPr id="20" name="图片 2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
                    <pic:cNvPicPr>
                      <a:picLocks noChangeAspect="1"/>
                    </pic:cNvPicPr>
                  </pic:nvPicPr>
                  <pic:blipFill>
                    <a:blip r:embed="rId6"/>
                    <a:stretch>
                      <a:fillRect/>
                    </a:stretch>
                  </pic:blipFill>
                  <pic:spPr>
                    <a:xfrm>
                      <a:off x="0" y="0"/>
                      <a:ext cx="5266690" cy="2438400"/>
                    </a:xfrm>
                    <a:prstGeom prst="rect">
                      <a:avLst/>
                    </a:prstGeom>
                  </pic:spPr>
                </pic:pic>
              </a:graphicData>
            </a:graphic>
          </wp:inline>
        </w:drawing>
      </w:r>
    </w:p>
    <w:p w14:paraId="75E270F5">
      <w:pPr>
        <w:pStyle w:val="3"/>
        <w:bidi w:val="0"/>
        <w:rPr>
          <w:rFonts w:hint="eastAsia" w:ascii="楷体" w:hAnsi="楷体" w:eastAsia="楷体" w:cs="楷体"/>
        </w:rPr>
      </w:pPr>
      <w:r>
        <w:rPr>
          <w:rFonts w:hint="eastAsia" w:ascii="楷体" w:hAnsi="楷体" w:eastAsia="楷体" w:cs="楷体"/>
        </w:rPr>
        <w:t>01导读</w:t>
      </w:r>
    </w:p>
    <w:p w14:paraId="62549E7E">
      <w:pPr>
        <w:rPr>
          <w:rFonts w:hint="eastAsia" w:ascii="楷体" w:hAnsi="楷体" w:eastAsia="楷体" w:cs="楷体"/>
          <w:sz w:val="28"/>
          <w:szCs w:val="28"/>
        </w:rPr>
      </w:pPr>
      <w:r>
        <w:rPr>
          <w:rFonts w:hint="eastAsia" w:ascii="楷体" w:hAnsi="楷体" w:eastAsia="楷体" w:cs="楷体"/>
          <w:sz w:val="28"/>
          <w:szCs w:val="28"/>
        </w:rPr>
        <w:t>Th1和Th2细胞是T细胞研究的基础，但科研人员一直困扰于为何阻断Th1/Th2通路后，自身免疫性疾病的炎症仍持续存在？</w:t>
      </w:r>
    </w:p>
    <w:p w14:paraId="3D244313">
      <w:pPr>
        <w:rPr>
          <w:rFonts w:hint="eastAsia" w:ascii="楷体" w:hAnsi="楷体" w:eastAsia="楷体" w:cs="楷体"/>
          <w:sz w:val="28"/>
          <w:szCs w:val="28"/>
        </w:rPr>
      </w:pPr>
      <w:r>
        <w:rPr>
          <w:rFonts w:hint="eastAsia" w:ascii="楷体" w:hAnsi="楷体" w:eastAsia="楷体" w:cs="楷体"/>
          <w:sz w:val="28"/>
          <w:szCs w:val="28"/>
        </w:rPr>
        <w:t>时间回溯到2005年，董晨教授在《Nature Immunology》期刊提出T细胞的第三个亚群——Th17细胞，以分泌IL-17为标志。这一发现打破了传统Th1/Th2细胞理论对免疫反应解释的局限，彻底改写免疫学教科书。</w:t>
      </w:r>
    </w:p>
    <w:p w14:paraId="4C4B3F22">
      <w:pPr>
        <w:rPr>
          <w:rFonts w:hint="eastAsia" w:ascii="楷体" w:hAnsi="楷体" w:eastAsia="楷体" w:cs="楷体"/>
          <w:sz w:val="28"/>
          <w:szCs w:val="28"/>
        </w:rPr>
      </w:pPr>
      <w:r>
        <w:rPr>
          <w:rFonts w:hint="eastAsia" w:ascii="楷体" w:hAnsi="楷体" w:eastAsia="楷体" w:cs="楷体"/>
          <w:sz w:val="28"/>
          <w:szCs w:val="28"/>
        </w:rPr>
        <w:t>IL-17的发现不仅解决一直困扰科研人员的炎症机制难题，还为自免疾病药物开发开辟了新的研究方向。自2014年首个IL-17A单抗司库奇尤（Secukinumab）获批以来，全球已有7款IL-17相关药物获批上市，用于治疗银屑病、强直性脊柱炎、化脓性汗腺炎等。</w:t>
      </w:r>
    </w:p>
    <w:p w14:paraId="33B5DCE4">
      <w:pPr>
        <w:rPr>
          <w:rFonts w:hint="eastAsia" w:ascii="楷体" w:hAnsi="楷体" w:eastAsia="楷体" w:cs="楷体"/>
          <w:sz w:val="28"/>
          <w:szCs w:val="28"/>
        </w:rPr>
      </w:pPr>
      <w:r>
        <w:rPr>
          <w:rFonts w:hint="eastAsia" w:ascii="楷体" w:hAnsi="楷体" w:eastAsia="楷体" w:cs="楷体"/>
          <w:sz w:val="28"/>
          <w:szCs w:val="28"/>
        </w:rPr>
        <w:t>自免疾病是免疫系统误将自身抗原识别为“入侵者”而引发的一类疾病，种类繁多，目前超过100种。靶向免疫细胞蛋白、细胞因子的生物制剂，以及蛋白激酶的小分子抑制剂，是自免疾病治疗的常用药物。</w:t>
      </w:r>
    </w:p>
    <w:p w14:paraId="2B2BB4F5">
      <w:pPr>
        <w:pStyle w:val="3"/>
        <w:bidi w:val="0"/>
        <w:rPr>
          <w:rFonts w:hint="eastAsia" w:ascii="楷体" w:hAnsi="楷体" w:eastAsia="楷体" w:cs="楷体"/>
        </w:rPr>
      </w:pPr>
      <w:r>
        <w:rPr>
          <w:rFonts w:hint="eastAsia" w:ascii="楷体" w:hAnsi="楷体" w:eastAsia="楷体" w:cs="楷体"/>
        </w:rPr>
        <w:t>02</w:t>
      </w:r>
      <w:r>
        <w:rPr>
          <w:rFonts w:hint="eastAsia" w:ascii="楷体" w:hAnsi="楷体" w:eastAsia="楷体" w:cs="楷体"/>
          <w:lang w:val="en-US" w:eastAsia="zh-CN"/>
        </w:rPr>
        <w:t xml:space="preserve"> </w:t>
      </w:r>
      <w:r>
        <w:rPr>
          <w:rFonts w:hint="eastAsia" w:ascii="楷体" w:hAnsi="楷体" w:eastAsia="楷体" w:cs="楷体"/>
        </w:rPr>
        <w:t>IL-17家族：免疫系统的“特种兵”</w:t>
      </w:r>
    </w:p>
    <w:p w14:paraId="6426FFBC">
      <w:pPr>
        <w:rPr>
          <w:rFonts w:hint="eastAsia" w:ascii="楷体" w:hAnsi="楷体" w:eastAsia="楷体" w:cs="楷体"/>
          <w:sz w:val="28"/>
          <w:szCs w:val="28"/>
        </w:rPr>
      </w:pPr>
      <w:r>
        <w:rPr>
          <w:rFonts w:hint="eastAsia" w:ascii="楷体" w:hAnsi="楷体" w:eastAsia="楷体" w:cs="楷体"/>
          <w:sz w:val="28"/>
          <w:szCs w:val="28"/>
        </w:rPr>
        <w:t>白介素17（IL-17）家族现在有6个结构相关的细胞因子组成：IL-17A、IL-17B、IL-17C、IL-17D、IL-17E（即IL-25）和IL-17F。</w:t>
      </w:r>
    </w:p>
    <w:p w14:paraId="4EB954DE">
      <w:pPr>
        <w:rPr>
          <w:rFonts w:hint="eastAsia" w:ascii="楷体" w:hAnsi="楷体" w:eastAsia="楷体" w:cs="楷体"/>
          <w:sz w:val="28"/>
          <w:szCs w:val="28"/>
        </w:rPr>
      </w:pPr>
      <w:r>
        <w:rPr>
          <w:rFonts w:hint="eastAsia" w:ascii="楷体" w:hAnsi="楷体" w:eastAsia="楷体" w:cs="楷体"/>
          <w:sz w:val="28"/>
          <w:szCs w:val="28"/>
        </w:rPr>
        <w:t>IL-17受体由5种共享SEFIR结构域的亚单位组成，分别为：IL-17RA、IL-17RB、IL-17RC、IL-17RD和IL-17RE。IL-17RA是大部分受体的共同亚单位，特有CBAD结构域。</w:t>
      </w:r>
    </w:p>
    <w:p w14:paraId="423BCEA2">
      <w:pPr>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5266690" cy="2638425"/>
            <wp:effectExtent l="0" t="0" r="10160" b="9525"/>
            <wp:docPr id="21" name="图片 2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2"/>
                    <pic:cNvPicPr>
                      <a:picLocks noChangeAspect="1"/>
                    </pic:cNvPicPr>
                  </pic:nvPicPr>
                  <pic:blipFill>
                    <a:blip r:embed="rId7"/>
                    <a:stretch>
                      <a:fillRect/>
                    </a:stretch>
                  </pic:blipFill>
                  <pic:spPr>
                    <a:xfrm>
                      <a:off x="0" y="0"/>
                      <a:ext cx="5266690" cy="2638425"/>
                    </a:xfrm>
                    <a:prstGeom prst="rect">
                      <a:avLst/>
                    </a:prstGeom>
                  </pic:spPr>
                </pic:pic>
              </a:graphicData>
            </a:graphic>
          </wp:inline>
        </w:drawing>
      </w:r>
    </w:p>
    <w:p w14:paraId="098680C1">
      <w:pPr>
        <w:jc w:val="center"/>
        <w:rPr>
          <w:rFonts w:hint="eastAsia" w:ascii="楷体" w:hAnsi="楷体" w:eastAsia="楷体" w:cs="楷体"/>
          <w:sz w:val="28"/>
          <w:szCs w:val="28"/>
        </w:rPr>
      </w:pPr>
      <w:r>
        <w:rPr>
          <w:rFonts w:hint="eastAsia" w:ascii="楷体" w:hAnsi="楷体" w:eastAsia="楷体" w:cs="楷体"/>
          <w:sz w:val="24"/>
          <w:szCs w:val="24"/>
        </w:rPr>
        <w:t>IL-17家族谱（源自文献：doi: 10.1038/s41392-023-01620-3）</w:t>
      </w:r>
    </w:p>
    <w:p w14:paraId="64D8DAED">
      <w:pPr>
        <w:rPr>
          <w:rFonts w:hint="eastAsia" w:ascii="楷体" w:hAnsi="楷体" w:eastAsia="楷体" w:cs="楷体"/>
          <w:sz w:val="28"/>
          <w:szCs w:val="28"/>
        </w:rPr>
      </w:pPr>
      <w:r>
        <w:rPr>
          <w:rFonts w:hint="eastAsia" w:ascii="楷体" w:hAnsi="楷体" w:eastAsia="楷体" w:cs="楷体"/>
          <w:sz w:val="28"/>
          <w:szCs w:val="28"/>
        </w:rPr>
        <w:t>除了Th17细胞产生IL-17外，自然杀伤T细胞、CD8 T细胞、γδ T细胞、树突状细胞、巨噬细胞、固有淋巴细胞等也能产生这类细胞因子。此外，有研究发现，髓细胞（如中性粒细胞）在炎症信号的刺激下也可能产生IL-17。</w:t>
      </w:r>
    </w:p>
    <w:p w14:paraId="318201E2">
      <w:pPr>
        <w:rPr>
          <w:rFonts w:hint="eastAsia" w:ascii="楷体" w:hAnsi="楷体" w:eastAsia="楷体" w:cs="楷体"/>
          <w:sz w:val="28"/>
          <w:szCs w:val="28"/>
        </w:rPr>
      </w:pPr>
      <w:r>
        <w:rPr>
          <w:rFonts w:hint="eastAsia" w:ascii="楷体" w:hAnsi="楷体" w:eastAsia="楷体" w:cs="楷体"/>
          <w:sz w:val="28"/>
          <w:szCs w:val="28"/>
        </w:rPr>
        <w:t>IL-17家族成员既相互独立又紧密协作，在免疫系统中扮演着多样化的“角色”。IL-17分泌到细胞外后，与特定的受体（IL-17R）结合，从而进行信号转导。</w:t>
      </w:r>
    </w:p>
    <w:p w14:paraId="424C9673">
      <w:pPr>
        <w:rPr>
          <w:rFonts w:hint="eastAsia" w:ascii="楷体" w:hAnsi="楷体" w:eastAsia="楷体" w:cs="楷体"/>
          <w:sz w:val="28"/>
          <w:szCs w:val="28"/>
        </w:rPr>
      </w:pPr>
      <w:r>
        <w:rPr>
          <w:rFonts w:hint="eastAsia" w:ascii="楷体" w:hAnsi="楷体" w:eastAsia="楷体" w:cs="楷体"/>
          <w:sz w:val="28"/>
          <w:szCs w:val="28"/>
        </w:rPr>
        <w:t>IL-17A和IL-17F这对家族“双子星”结构相似度55%，是炎症反应和自免疾病中的“主力军”。它们以同源二聚体或异源二聚体的形式，与IL-17RA和IL-17RC受体复合物结合，激活下游信号通路，引发一系列免疫反应。</w:t>
      </w:r>
    </w:p>
    <w:p w14:paraId="156CE40C">
      <w:pPr>
        <w:rPr>
          <w:rFonts w:hint="eastAsia" w:ascii="楷体" w:hAnsi="楷体" w:eastAsia="楷体" w:cs="楷体"/>
          <w:sz w:val="28"/>
          <w:szCs w:val="28"/>
        </w:rPr>
      </w:pPr>
      <w:r>
        <w:rPr>
          <w:rFonts w:hint="eastAsia" w:ascii="楷体" w:hAnsi="楷体" w:eastAsia="楷体" w:cs="楷体"/>
          <w:sz w:val="28"/>
          <w:szCs w:val="28"/>
        </w:rPr>
        <w:t>IL-17A在控制许多真菌和细菌感染方面具有不可替代的作用，但它也是许多自免疾病和炎症性疾病中的关键致病细胞因子。IL-17F与IL-17A的功能有重叠之处，也有一些不同。例如在治疗银屑病时，同时阻断IL-17A和IL-17F比单独阻断IL-17A更有效，但会增加口腔念珠菌病的发病率。</w:t>
      </w:r>
    </w:p>
    <w:p w14:paraId="18799081">
      <w:pPr>
        <w:rPr>
          <w:rFonts w:hint="eastAsia" w:ascii="楷体" w:hAnsi="楷体" w:eastAsia="楷体" w:cs="楷体"/>
          <w:sz w:val="28"/>
          <w:szCs w:val="28"/>
        </w:rPr>
      </w:pPr>
      <w:r>
        <w:rPr>
          <w:rFonts w:hint="eastAsia" w:ascii="楷体" w:hAnsi="楷体" w:eastAsia="楷体" w:cs="楷体"/>
          <w:sz w:val="28"/>
          <w:szCs w:val="28"/>
        </w:rPr>
        <w:t>2019年董晨团队发现孤儿受体IL-17RD直接结合IL-17A，而不是IL-17F或IL-17A/F二聚体，证明IL-17RD是IL-17A的功能性受体，有助于开发靶向策略来治疗IL-17A相关的免疫疾病。</w:t>
      </w:r>
    </w:p>
    <w:p w14:paraId="0206D2A9">
      <w:pPr>
        <w:rPr>
          <w:rFonts w:hint="eastAsia" w:ascii="楷体" w:hAnsi="楷体" w:eastAsia="楷体" w:cs="楷体"/>
          <w:sz w:val="28"/>
          <w:szCs w:val="28"/>
        </w:rPr>
      </w:pPr>
      <w:r>
        <w:rPr>
          <w:rFonts w:hint="eastAsia" w:ascii="楷体" w:hAnsi="楷体" w:eastAsia="楷体" w:cs="楷体"/>
          <w:sz w:val="28"/>
          <w:szCs w:val="28"/>
        </w:rPr>
        <w:t>IL-17B和IL-17E（也称为IL-25）主要通过IL-17RB受体发挥作用。IL-17B具有抗炎特性，可限制结肠和过敏性哮喘中的炎症。而IL-17E可增强肺部的2型细胞因子和嗜酸性粒细胞反应，可能是介导过敏性气道疾病的细胞因子。</w:t>
      </w:r>
    </w:p>
    <w:p w14:paraId="2EFB8618">
      <w:pPr>
        <w:rPr>
          <w:rFonts w:hint="eastAsia" w:ascii="楷体" w:hAnsi="楷体" w:eastAsia="楷体" w:cs="楷体"/>
          <w:sz w:val="28"/>
          <w:szCs w:val="28"/>
        </w:rPr>
      </w:pPr>
      <w:r>
        <w:rPr>
          <w:rFonts w:hint="eastAsia" w:ascii="楷体" w:hAnsi="楷体" w:eastAsia="楷体" w:cs="楷体"/>
          <w:sz w:val="28"/>
          <w:szCs w:val="28"/>
        </w:rPr>
        <w:t>IL-17C与IL-17RA/E复合物结合传递信号。在应对肠道病原体时，能够促进促炎细胞因子和抗菌肽的产生。IL-17C还能促进肺部的中性粒细胞增多和炎症基因表达。</w:t>
      </w:r>
    </w:p>
    <w:p w14:paraId="6AA33BAD">
      <w:pPr>
        <w:rPr>
          <w:rFonts w:hint="eastAsia" w:ascii="楷体" w:hAnsi="楷体" w:eastAsia="楷体" w:cs="楷体"/>
          <w:sz w:val="28"/>
          <w:szCs w:val="28"/>
        </w:rPr>
      </w:pPr>
      <w:r>
        <w:rPr>
          <w:rFonts w:hint="eastAsia" w:ascii="楷体" w:hAnsi="楷体" w:eastAsia="楷体" w:cs="楷体"/>
          <w:sz w:val="28"/>
          <w:szCs w:val="28"/>
        </w:rPr>
        <w:t>IL-17D的功能还在探索中，初步研究表明它参与抗病毒免疫反应。2021年董晨团队发现肠上皮细胞来源的IL-17D通过与受体CD93结合，在调节固有淋巴细胞功能并维持肠道稳态中发挥关键作用。</w:t>
      </w:r>
    </w:p>
    <w:p w14:paraId="51BC9FDF">
      <w:pPr>
        <w:rPr>
          <w:rFonts w:hint="eastAsia" w:ascii="楷体" w:hAnsi="楷体" w:eastAsia="楷体" w:cs="楷体"/>
          <w:sz w:val="28"/>
          <w:szCs w:val="28"/>
        </w:rPr>
      </w:pPr>
      <w:r>
        <w:rPr>
          <w:rFonts w:hint="eastAsia" w:ascii="楷体" w:hAnsi="楷体" w:eastAsia="楷体" w:cs="楷体"/>
          <w:sz w:val="28"/>
          <w:szCs w:val="28"/>
        </w:rPr>
        <w:t>总之，IL-17家族成员是一类功能多样的促炎细胞因子，在宿主免疫防御、组织修复、炎症性疾病发病机制以及癌症进展等重要过程中发挥着不可或缺的作用。IL-17已成为宿主抵御黏膜感染的关键细胞因子，同时也是多种自免和炎症性疾病的主要致病细胞因子及药物靶点。</w:t>
      </w:r>
    </w:p>
    <w:p w14:paraId="316017B9">
      <w:pPr>
        <w:pStyle w:val="3"/>
        <w:bidi w:val="0"/>
        <w:rPr>
          <w:rFonts w:hint="eastAsia" w:ascii="楷体" w:hAnsi="楷体" w:eastAsia="楷体" w:cs="楷体"/>
        </w:rPr>
      </w:pPr>
      <w:r>
        <w:rPr>
          <w:rFonts w:hint="eastAsia" w:ascii="楷体" w:hAnsi="楷体" w:eastAsia="楷体" w:cs="楷体"/>
        </w:rPr>
        <w:t>03</w:t>
      </w:r>
      <w:r>
        <w:rPr>
          <w:rFonts w:hint="eastAsia" w:ascii="楷体" w:hAnsi="楷体" w:eastAsia="楷体" w:cs="楷体"/>
          <w:lang w:val="en-US" w:eastAsia="zh-CN"/>
        </w:rPr>
        <w:t xml:space="preserve"> </w:t>
      </w:r>
      <w:r>
        <w:rPr>
          <w:rFonts w:hint="eastAsia" w:ascii="楷体" w:hAnsi="楷体" w:eastAsia="楷体" w:cs="楷体"/>
        </w:rPr>
        <w:t>IL-17：自免疾病的“幕后推手”</w:t>
      </w:r>
    </w:p>
    <w:p w14:paraId="5672D96E">
      <w:pPr>
        <w:rPr>
          <w:rFonts w:hint="eastAsia" w:ascii="楷体" w:hAnsi="楷体" w:eastAsia="楷体" w:cs="楷体"/>
          <w:sz w:val="28"/>
          <w:szCs w:val="28"/>
        </w:rPr>
      </w:pPr>
      <w:r>
        <w:rPr>
          <w:rFonts w:hint="eastAsia" w:ascii="楷体" w:hAnsi="楷体" w:eastAsia="楷体" w:cs="楷体"/>
          <w:sz w:val="28"/>
          <w:szCs w:val="28"/>
        </w:rPr>
        <w:t>IL-17在炎症过程中发挥重要作用。IL-17分泌失调会导致自免疾病和组织损伤。在自免疾病中，由感染或无菌炎症引起损伤相关分子模式（DAMPs），激活先天免疫细胞，通过自身抗原、IL-1β或IL-23激活Th17、CD8 T、ILC3s、γδT17等细胞，促进IL-17的分泌。IL-17与TNF结合后作用于上皮细胞，进而促进炎症。IL-17还激活促炎细胞因子和MMPs的产生，这些物质介导组织损伤和炎症，进而导致自免疾病发生。</w:t>
      </w:r>
    </w:p>
    <w:p w14:paraId="4B3A184B">
      <w:pPr>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5266690" cy="2277745"/>
            <wp:effectExtent l="0" t="0" r="10160" b="8255"/>
            <wp:docPr id="22" name="图片 2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3"/>
                    <pic:cNvPicPr>
                      <a:picLocks noChangeAspect="1"/>
                    </pic:cNvPicPr>
                  </pic:nvPicPr>
                  <pic:blipFill>
                    <a:blip r:embed="rId8"/>
                    <a:stretch>
                      <a:fillRect/>
                    </a:stretch>
                  </pic:blipFill>
                  <pic:spPr>
                    <a:xfrm>
                      <a:off x="0" y="0"/>
                      <a:ext cx="5266690" cy="2277745"/>
                    </a:xfrm>
                    <a:prstGeom prst="rect">
                      <a:avLst/>
                    </a:prstGeom>
                  </pic:spPr>
                </pic:pic>
              </a:graphicData>
            </a:graphic>
          </wp:inline>
        </w:drawing>
      </w:r>
    </w:p>
    <w:p w14:paraId="58839BE0">
      <w:pPr>
        <w:jc w:val="center"/>
        <w:rPr>
          <w:rFonts w:hint="eastAsia" w:ascii="楷体" w:hAnsi="楷体" w:eastAsia="楷体" w:cs="楷体"/>
          <w:sz w:val="24"/>
          <w:szCs w:val="24"/>
        </w:rPr>
      </w:pPr>
      <w:r>
        <w:rPr>
          <w:rFonts w:hint="eastAsia" w:ascii="楷体" w:hAnsi="楷体" w:eastAsia="楷体" w:cs="楷体"/>
          <w:sz w:val="24"/>
          <w:szCs w:val="24"/>
        </w:rPr>
        <w:t>IL-17介导自免疾病的分子机制（源自文献：doi: 0.1038/s41577-022-00746-9）</w:t>
      </w:r>
    </w:p>
    <w:p w14:paraId="2C488CC6">
      <w:pPr>
        <w:rPr>
          <w:rFonts w:hint="eastAsia" w:ascii="楷体" w:hAnsi="楷体" w:eastAsia="楷体" w:cs="楷体"/>
          <w:sz w:val="28"/>
          <w:szCs w:val="28"/>
        </w:rPr>
      </w:pPr>
    </w:p>
    <w:p w14:paraId="02817A8A">
      <w:pPr>
        <w:rPr>
          <w:rFonts w:hint="eastAsia" w:ascii="楷体" w:hAnsi="楷体" w:eastAsia="楷体" w:cs="楷体"/>
          <w:sz w:val="28"/>
          <w:szCs w:val="28"/>
        </w:rPr>
      </w:pPr>
      <w:r>
        <w:rPr>
          <w:rFonts w:hint="eastAsia" w:ascii="楷体" w:hAnsi="楷体" w:eastAsia="楷体" w:cs="楷体"/>
          <w:sz w:val="28"/>
          <w:szCs w:val="28"/>
        </w:rPr>
        <w:t>多种自免疾病的发生发展与IL-17相关，如银屑病、类风湿性关节炎、多发性硬化症、系统性红斑狼疮、强直性脊柱炎、炎症性肠病、克罗恩病等。</w:t>
      </w:r>
    </w:p>
    <w:p w14:paraId="7419BBAD">
      <w:pPr>
        <w:rPr>
          <w:rFonts w:hint="eastAsia" w:ascii="楷体" w:hAnsi="楷体" w:eastAsia="楷体" w:cs="楷体"/>
          <w:b/>
          <w:bCs/>
          <w:sz w:val="28"/>
          <w:szCs w:val="28"/>
        </w:rPr>
      </w:pPr>
      <w:r>
        <w:rPr>
          <w:rFonts w:hint="eastAsia" w:ascii="楷体" w:hAnsi="楷体" w:eastAsia="楷体" w:cs="楷体"/>
          <w:b/>
          <w:bCs/>
          <w:sz w:val="28"/>
          <w:szCs w:val="28"/>
        </w:rPr>
        <w:t>IL-17在相关自免疾病中作用机制：</w:t>
      </w:r>
    </w:p>
    <w:p w14:paraId="32A79D99">
      <w:pPr>
        <w:rPr>
          <w:rFonts w:hint="eastAsia" w:ascii="楷体" w:hAnsi="楷体" w:eastAsia="楷体" w:cs="楷体"/>
          <w:b/>
          <w:bCs/>
          <w:sz w:val="28"/>
          <w:szCs w:val="28"/>
        </w:rPr>
      </w:pPr>
      <w:r>
        <w:rPr>
          <w:rFonts w:hint="eastAsia" w:ascii="楷体" w:hAnsi="楷体" w:eastAsia="楷体" w:cs="楷体"/>
          <w:b/>
          <w:bCs/>
          <w:sz w:val="28"/>
          <w:szCs w:val="28"/>
        </w:rPr>
        <w:t>1银屑病（Ps）</w:t>
      </w:r>
    </w:p>
    <w:p w14:paraId="7C92FF3D">
      <w:pPr>
        <w:rPr>
          <w:rFonts w:hint="eastAsia" w:ascii="楷体" w:hAnsi="楷体" w:eastAsia="楷体" w:cs="楷体"/>
          <w:sz w:val="28"/>
          <w:szCs w:val="28"/>
        </w:rPr>
      </w:pPr>
      <w:r>
        <w:rPr>
          <w:rFonts w:hint="eastAsia" w:ascii="楷体" w:hAnsi="楷体" w:eastAsia="楷体" w:cs="楷体"/>
          <w:sz w:val="28"/>
          <w:szCs w:val="28"/>
        </w:rPr>
        <w:t>IL-17在银屑病及银屑病关节炎的病理过程中具有明确的作用。Th17细胞存在于皮肤病变的真皮层，识别由CD1a呈递的自身脂质抗原后介导皮肤炎症。在银屑病关节炎患者的滑液中存在多种分泌IL-17的细胞。IL-17RA可增强IL-17反应，已被确定为银屑病和强直性脊柱炎的风险因素。IL-17E在银屑病患者的病变皮肤中含量丰富，注射IL-17E会引发皮肤炎症。IL-17E通过激活STAT3转录因子，促进角质形成细胞的增殖及炎症细胞因子和趋化因子的产生，介导IL-17信号触发的角质形成细胞调节回路。</w:t>
      </w:r>
    </w:p>
    <w:p w14:paraId="0E8F4F48">
      <w:pPr>
        <w:rPr>
          <w:rFonts w:hint="eastAsia" w:ascii="楷体" w:hAnsi="楷体" w:eastAsia="楷体" w:cs="楷体"/>
          <w:b/>
          <w:bCs/>
          <w:sz w:val="28"/>
          <w:szCs w:val="28"/>
        </w:rPr>
      </w:pPr>
      <w:r>
        <w:rPr>
          <w:rFonts w:hint="eastAsia" w:ascii="楷体" w:hAnsi="楷体" w:eastAsia="楷体" w:cs="楷体"/>
          <w:b/>
          <w:bCs/>
          <w:sz w:val="28"/>
          <w:szCs w:val="28"/>
        </w:rPr>
        <w:t>2类风湿性关节炎（RA）</w:t>
      </w:r>
    </w:p>
    <w:p w14:paraId="67EE6723">
      <w:pPr>
        <w:rPr>
          <w:rFonts w:hint="eastAsia" w:ascii="楷体" w:hAnsi="楷体" w:eastAsia="楷体" w:cs="楷体"/>
          <w:sz w:val="28"/>
          <w:szCs w:val="28"/>
        </w:rPr>
      </w:pPr>
      <w:r>
        <w:rPr>
          <w:rFonts w:hint="eastAsia" w:ascii="楷体" w:hAnsi="楷体" w:eastAsia="楷体" w:cs="楷体"/>
          <w:sz w:val="28"/>
          <w:szCs w:val="28"/>
        </w:rPr>
        <w:t>IL-17作为RA的治疗靶点尚未取得成功。RA患者的滑液中高表达IL-17，会促进破骨细胞的生成。在RA小鼠模型中，抑制IL-17可减轻关节炎症状和软骨破坏。但是对RA患者使用IL-17或IL-23/IL-12p40抗体时却疗效甚微或无效。目前尚不清楚具体原因，可能与疾病的异质性有关。</w:t>
      </w:r>
    </w:p>
    <w:p w14:paraId="07EA7C60">
      <w:pPr>
        <w:rPr>
          <w:rFonts w:hint="eastAsia" w:ascii="楷体" w:hAnsi="楷体" w:eastAsia="楷体" w:cs="楷体"/>
          <w:b/>
          <w:bCs/>
          <w:sz w:val="28"/>
          <w:szCs w:val="28"/>
        </w:rPr>
      </w:pPr>
      <w:r>
        <w:rPr>
          <w:rFonts w:hint="eastAsia" w:ascii="楷体" w:hAnsi="楷体" w:eastAsia="楷体" w:cs="楷体"/>
          <w:b/>
          <w:bCs/>
          <w:sz w:val="28"/>
          <w:szCs w:val="28"/>
        </w:rPr>
        <w:t>3化脓性汗腺炎（HS）</w:t>
      </w:r>
    </w:p>
    <w:p w14:paraId="19E4867B">
      <w:pPr>
        <w:rPr>
          <w:rFonts w:hint="eastAsia" w:ascii="楷体" w:hAnsi="楷体" w:eastAsia="楷体" w:cs="楷体"/>
          <w:sz w:val="28"/>
          <w:szCs w:val="28"/>
        </w:rPr>
      </w:pPr>
      <w:r>
        <w:rPr>
          <w:rFonts w:hint="eastAsia" w:ascii="楷体" w:hAnsi="楷体" w:eastAsia="楷体" w:cs="楷体"/>
          <w:sz w:val="28"/>
          <w:szCs w:val="28"/>
        </w:rPr>
        <w:t>HS又称为反常性痤疮，是一种因毛囊闭锁引起的慢性复发性炎症皮肤病。在HS病变部位，IL-23等诱导Th17细胞分化和增殖，促进IL-17A的大量分泌。IL-17A进一步刺激产生多种趋化因子（如CXCL1、CXCL8）、IL-19及抗菌肽。因此，IL-17在炎症反应中发挥多重促炎作用，形成持续的炎症循环，在HS的致病过程中发挥关键作用。</w:t>
      </w:r>
    </w:p>
    <w:p w14:paraId="6FD06608">
      <w:pPr>
        <w:rPr>
          <w:rFonts w:hint="eastAsia" w:ascii="楷体" w:hAnsi="楷体" w:eastAsia="楷体" w:cs="楷体"/>
          <w:b/>
          <w:bCs/>
          <w:sz w:val="28"/>
          <w:szCs w:val="28"/>
        </w:rPr>
      </w:pPr>
      <w:r>
        <w:rPr>
          <w:rFonts w:hint="eastAsia" w:ascii="楷体" w:hAnsi="楷体" w:eastAsia="楷体" w:cs="楷体"/>
          <w:b/>
          <w:bCs/>
          <w:sz w:val="28"/>
          <w:szCs w:val="28"/>
        </w:rPr>
        <w:t>4多发性硬化症（MS）</w:t>
      </w:r>
    </w:p>
    <w:p w14:paraId="6D7854F4">
      <w:pPr>
        <w:rPr>
          <w:rFonts w:hint="eastAsia" w:ascii="楷体" w:hAnsi="楷体" w:eastAsia="楷体" w:cs="楷体"/>
          <w:sz w:val="28"/>
          <w:szCs w:val="28"/>
        </w:rPr>
      </w:pPr>
      <w:r>
        <w:rPr>
          <w:rFonts w:hint="eastAsia" w:ascii="楷体" w:hAnsi="楷体" w:eastAsia="楷体" w:cs="楷体"/>
          <w:sz w:val="28"/>
          <w:szCs w:val="28"/>
        </w:rPr>
        <w:t>MS俗称“渐冻人症”，是一种影响中枢神经系统（CNS）白质的自免疾病。研究发现CD4+ T细胞被激活后分化为促炎性Th1和Th17细胞，浸润CNS导致炎症性脱髓鞘。在雌性小鼠中，肥胖会促进Th1炎症，恶化实验性自身免疫性脑脊髓炎（EAE），增加血清中IFN-α水平和CD4+T细胞的IFN-γ/STAT1信号传导，从而恶化CNS的自身免疫性。因此，IL-17是EAE中的关键致病细胞因子，同样是MS的潜在药物靶点。</w:t>
      </w:r>
    </w:p>
    <w:p w14:paraId="7177F768">
      <w:pPr>
        <w:rPr>
          <w:rFonts w:hint="eastAsia" w:ascii="楷体" w:hAnsi="楷体" w:eastAsia="楷体" w:cs="楷体"/>
          <w:b/>
          <w:bCs/>
          <w:sz w:val="28"/>
          <w:szCs w:val="28"/>
        </w:rPr>
      </w:pPr>
      <w:r>
        <w:rPr>
          <w:rFonts w:hint="eastAsia" w:ascii="楷体" w:hAnsi="楷体" w:eastAsia="楷体" w:cs="楷体"/>
          <w:b/>
          <w:bCs/>
          <w:sz w:val="28"/>
          <w:szCs w:val="28"/>
        </w:rPr>
        <w:t>5炎症性肠病（IBD）</w:t>
      </w:r>
    </w:p>
    <w:p w14:paraId="2DDCB85A">
      <w:pPr>
        <w:rPr>
          <w:rFonts w:hint="eastAsia" w:ascii="楷体" w:hAnsi="楷体" w:eastAsia="楷体" w:cs="楷体"/>
          <w:sz w:val="28"/>
          <w:szCs w:val="28"/>
        </w:rPr>
      </w:pPr>
      <w:r>
        <w:rPr>
          <w:rFonts w:hint="eastAsia" w:ascii="楷体" w:hAnsi="楷体" w:eastAsia="楷体" w:cs="楷体"/>
          <w:sz w:val="28"/>
          <w:szCs w:val="28"/>
        </w:rPr>
        <w:t>IL-17在IBD中作用复杂。在IBD中免疫平衡向促炎状态转变，由TNF、IL-1β、IL-6、IL-12、IL-23和IL-17等细胞因子驱动。这些细胞因子激活免疫细胞，诱导上皮细胞死亡，损害屏障功能，抑制炎症消退。与健康对照组相比，IBD患者的肠粘膜和固有层中含有更高水平的Th17细胞、IL-17和IL-23。在小鼠模型中，IL-17A和IL-17F的缺陷对结肠炎具有保护作用。</w:t>
      </w:r>
    </w:p>
    <w:p w14:paraId="2FAAC0CC">
      <w:pPr>
        <w:rPr>
          <w:rFonts w:hint="eastAsia" w:ascii="楷体" w:hAnsi="楷体" w:eastAsia="楷体" w:cs="楷体"/>
          <w:b/>
          <w:bCs/>
          <w:sz w:val="28"/>
          <w:szCs w:val="28"/>
        </w:rPr>
      </w:pPr>
      <w:r>
        <w:rPr>
          <w:rFonts w:hint="eastAsia" w:ascii="楷体" w:hAnsi="楷体" w:eastAsia="楷体" w:cs="楷体"/>
          <w:b/>
          <w:bCs/>
          <w:sz w:val="28"/>
          <w:szCs w:val="28"/>
        </w:rPr>
        <w:t>6系统性红斑狼疮（SLE）</w:t>
      </w:r>
    </w:p>
    <w:p w14:paraId="033EA683">
      <w:pPr>
        <w:rPr>
          <w:rFonts w:hint="eastAsia" w:ascii="楷体" w:hAnsi="楷体" w:eastAsia="楷体" w:cs="楷体"/>
          <w:sz w:val="28"/>
          <w:szCs w:val="28"/>
        </w:rPr>
      </w:pPr>
      <w:r>
        <w:rPr>
          <w:rFonts w:hint="eastAsia" w:ascii="楷体" w:hAnsi="楷体" w:eastAsia="楷体" w:cs="楷体"/>
          <w:sz w:val="28"/>
          <w:szCs w:val="28"/>
        </w:rPr>
        <w:t>SLE发病机制复杂，涉及多种细胞、炎症因子及自身抗原。SLE患者表现出Th17/Treg免疫失衡，Th17细胞分泌IL-17引发炎症，而Treg细胞数量减少导致功能受损。多项研究表明，SLE患者的IL-17水平会发生改变，血浆和靶器官中产生的IL-17水平与疾病严重程度呈正相关。但是统计学证实IL-17水平与SLE的进展呈现低正相关性，导致研究人员对IL-17与SLE之间的内在关系产生了质疑。</w:t>
      </w:r>
    </w:p>
    <w:p w14:paraId="669CB1BA">
      <w:pPr>
        <w:rPr>
          <w:rFonts w:hint="eastAsia" w:ascii="楷体" w:hAnsi="楷体" w:eastAsia="楷体" w:cs="楷体"/>
          <w:sz w:val="28"/>
          <w:szCs w:val="28"/>
        </w:rPr>
      </w:pPr>
    </w:p>
    <w:p w14:paraId="0437A144">
      <w:pPr>
        <w:pStyle w:val="3"/>
        <w:bidi w:val="0"/>
        <w:rPr>
          <w:rFonts w:hint="eastAsia" w:ascii="楷体" w:hAnsi="楷体" w:eastAsia="楷体" w:cs="楷体"/>
        </w:rPr>
      </w:pPr>
      <w:r>
        <w:rPr>
          <w:rFonts w:hint="eastAsia" w:ascii="楷体" w:hAnsi="楷体" w:eastAsia="楷体" w:cs="楷体"/>
        </w:rPr>
        <w:t>04为啥IL-17自免领域卷疯了？</w:t>
      </w:r>
    </w:p>
    <w:p w14:paraId="1C2674CB">
      <w:pPr>
        <w:rPr>
          <w:rFonts w:hint="eastAsia" w:ascii="楷体" w:hAnsi="楷体" w:eastAsia="楷体" w:cs="楷体"/>
          <w:sz w:val="28"/>
          <w:szCs w:val="28"/>
        </w:rPr>
      </w:pPr>
      <w:r>
        <w:rPr>
          <w:rFonts w:hint="eastAsia" w:ascii="楷体" w:hAnsi="楷体" w:eastAsia="楷体" w:cs="楷体"/>
          <w:sz w:val="28"/>
          <w:szCs w:val="28"/>
        </w:rPr>
        <w:t>如上所述，IL-17在多种自免疾病中发挥关键作用。比如在银屑病中，IL-17刺激角质形成细胞表达S100A8、S100A9和抗菌肽，进而使其增殖。在关节炎中，IL-17诱导成骨细胞分泌RANKL，促进破骨细胞形成。在SLE中，IL-17招募中性粒细胞，加剧组织损伤。在MS中，IL-17能促使CNS中的髓鞘降解。甚至在肿瘤中，IL-17还能够招募具有免疫抑制作用的髓细胞，促进肿瘤生长。</w:t>
      </w:r>
    </w:p>
    <w:p w14:paraId="341398D1">
      <w:pPr>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5266690" cy="3652520"/>
            <wp:effectExtent l="0" t="0" r="10160" b="5080"/>
            <wp:docPr id="23" name="图片 2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4"/>
                    <pic:cNvPicPr>
                      <a:picLocks noChangeAspect="1"/>
                    </pic:cNvPicPr>
                  </pic:nvPicPr>
                  <pic:blipFill>
                    <a:blip r:embed="rId9"/>
                    <a:stretch>
                      <a:fillRect/>
                    </a:stretch>
                  </pic:blipFill>
                  <pic:spPr>
                    <a:xfrm>
                      <a:off x="0" y="0"/>
                      <a:ext cx="5266690" cy="3652520"/>
                    </a:xfrm>
                    <a:prstGeom prst="rect">
                      <a:avLst/>
                    </a:prstGeom>
                  </pic:spPr>
                </pic:pic>
              </a:graphicData>
            </a:graphic>
          </wp:inline>
        </w:drawing>
      </w:r>
    </w:p>
    <w:p w14:paraId="1C6BEFDE">
      <w:pPr>
        <w:jc w:val="center"/>
        <w:rPr>
          <w:rFonts w:hint="eastAsia" w:ascii="楷体" w:hAnsi="楷体" w:eastAsia="楷体" w:cs="楷体"/>
          <w:sz w:val="24"/>
          <w:szCs w:val="24"/>
        </w:rPr>
      </w:pPr>
      <w:r>
        <w:rPr>
          <w:rFonts w:hint="eastAsia" w:ascii="楷体" w:hAnsi="楷体" w:eastAsia="楷体" w:cs="楷体"/>
          <w:sz w:val="24"/>
          <w:szCs w:val="24"/>
        </w:rPr>
        <w:t>IL-17在不同疾病中的作用及潜在疗法（源自文献：doi: 10.4110/in.2024.24.e2）</w:t>
      </w:r>
    </w:p>
    <w:p w14:paraId="2B528CEE">
      <w:pPr>
        <w:rPr>
          <w:rFonts w:hint="eastAsia" w:ascii="楷体" w:hAnsi="楷体" w:eastAsia="楷体" w:cs="楷体"/>
          <w:sz w:val="28"/>
          <w:szCs w:val="28"/>
        </w:rPr>
      </w:pPr>
      <w:r>
        <w:rPr>
          <w:rFonts w:hint="eastAsia" w:ascii="楷体" w:hAnsi="楷体" w:eastAsia="楷体" w:cs="楷体"/>
          <w:sz w:val="28"/>
          <w:szCs w:val="28"/>
        </w:rPr>
        <w:t>据Frost &amp; Sullivan数据显示，到2030年全球自免药物市场规模有望达到1760亿美元，越来越多的新药研发企业开始对自免市场表现出浓厚的兴趣。</w:t>
      </w:r>
    </w:p>
    <w:p w14:paraId="1216A75C">
      <w:pPr>
        <w:rPr>
          <w:rFonts w:hint="eastAsia" w:ascii="楷体" w:hAnsi="楷体" w:eastAsia="楷体" w:cs="楷体"/>
          <w:sz w:val="28"/>
          <w:szCs w:val="28"/>
        </w:rPr>
      </w:pPr>
      <w:r>
        <w:rPr>
          <w:rFonts w:hint="eastAsia" w:ascii="楷体" w:hAnsi="楷体" w:eastAsia="楷体" w:cs="楷体"/>
          <w:b/>
          <w:bCs/>
          <w:sz w:val="28"/>
          <w:szCs w:val="28"/>
        </w:rPr>
        <w:t>IL-17作为自免赛道的“全能选手”，具有众多优势：</w:t>
      </w:r>
      <w:r>
        <w:rPr>
          <w:rFonts w:hint="eastAsia" w:ascii="楷体" w:hAnsi="楷体" w:eastAsia="楷体" w:cs="楷体"/>
          <w:sz w:val="28"/>
          <w:szCs w:val="28"/>
        </w:rPr>
        <w:t xml:space="preserve">   </w:t>
      </w:r>
    </w:p>
    <w:p w14:paraId="03A1C4B6">
      <w:pPr>
        <w:rPr>
          <w:rFonts w:hint="eastAsia" w:ascii="楷体" w:hAnsi="楷体" w:eastAsia="楷体" w:cs="楷体"/>
          <w:b/>
          <w:bCs/>
          <w:sz w:val="28"/>
          <w:szCs w:val="28"/>
        </w:rPr>
      </w:pPr>
      <w:r>
        <w:rPr>
          <w:rFonts w:hint="eastAsia" w:ascii="楷体" w:hAnsi="楷体" w:eastAsia="楷体" w:cs="楷体"/>
          <w:b/>
          <w:bCs/>
          <w:sz w:val="28"/>
          <w:szCs w:val="28"/>
          <w:lang w:val="en-US" w:eastAsia="zh-CN"/>
        </w:rPr>
        <w:t>①</w:t>
      </w:r>
      <w:r>
        <w:rPr>
          <w:rFonts w:hint="eastAsia" w:ascii="楷体" w:hAnsi="楷体" w:eastAsia="楷体" w:cs="楷体"/>
          <w:b/>
          <w:bCs/>
          <w:sz w:val="28"/>
          <w:szCs w:val="28"/>
        </w:rPr>
        <w:t>靶点组合丰富</w:t>
      </w:r>
    </w:p>
    <w:p w14:paraId="0E2C78D7">
      <w:pPr>
        <w:rPr>
          <w:rFonts w:hint="eastAsia" w:ascii="楷体" w:hAnsi="楷体" w:eastAsia="楷体" w:cs="楷体"/>
          <w:sz w:val="28"/>
          <w:szCs w:val="28"/>
        </w:rPr>
      </w:pPr>
      <w:r>
        <w:rPr>
          <w:rFonts w:hint="eastAsia" w:ascii="楷体" w:hAnsi="楷体" w:eastAsia="楷体" w:cs="楷体"/>
          <w:sz w:val="28"/>
          <w:szCs w:val="28"/>
        </w:rPr>
        <w:t>IL-17家族成员众多，不仅可“近亲”形成双靶点产品，还可与其他细胞因子组合，实现“一药多效”。   </w:t>
      </w:r>
    </w:p>
    <w:p w14:paraId="7556487F">
      <w:pPr>
        <w:rPr>
          <w:rFonts w:hint="eastAsia" w:ascii="楷体" w:hAnsi="楷体" w:eastAsia="楷体" w:cs="楷体"/>
          <w:b/>
          <w:bCs/>
          <w:sz w:val="28"/>
          <w:szCs w:val="28"/>
        </w:rPr>
      </w:pPr>
      <w:r>
        <w:rPr>
          <w:rFonts w:hint="eastAsia" w:ascii="楷体" w:hAnsi="楷体" w:eastAsia="楷体" w:cs="楷体"/>
          <w:b/>
          <w:bCs/>
          <w:sz w:val="28"/>
          <w:szCs w:val="28"/>
          <w:lang w:val="en-US" w:eastAsia="zh-CN"/>
        </w:rPr>
        <w:t>②</w:t>
      </w:r>
      <w:r>
        <w:rPr>
          <w:rFonts w:hint="eastAsia" w:ascii="楷体" w:hAnsi="楷体" w:eastAsia="楷体" w:cs="楷体"/>
          <w:b/>
          <w:bCs/>
          <w:sz w:val="28"/>
          <w:szCs w:val="28"/>
        </w:rPr>
        <w:t>靶点有效性高</w:t>
      </w:r>
    </w:p>
    <w:p w14:paraId="257FE51C">
      <w:pPr>
        <w:rPr>
          <w:rFonts w:hint="eastAsia" w:ascii="楷体" w:hAnsi="楷体" w:eastAsia="楷体" w:cs="楷体"/>
          <w:sz w:val="28"/>
          <w:szCs w:val="28"/>
        </w:rPr>
      </w:pPr>
      <w:r>
        <w:rPr>
          <w:rFonts w:hint="eastAsia" w:ascii="楷体" w:hAnsi="楷体" w:eastAsia="楷体" w:cs="楷体"/>
          <w:sz w:val="28"/>
          <w:szCs w:val="28"/>
        </w:rPr>
        <w:t>IL-17抑制剂显示出比TNF、IL-12/IL-23更强的效果。   </w:t>
      </w:r>
    </w:p>
    <w:p w14:paraId="11BFC915">
      <w:pPr>
        <w:rPr>
          <w:rFonts w:hint="eastAsia" w:ascii="楷体" w:hAnsi="楷体" w:eastAsia="楷体" w:cs="楷体"/>
          <w:b/>
          <w:bCs/>
          <w:sz w:val="28"/>
          <w:szCs w:val="28"/>
        </w:rPr>
      </w:pPr>
      <w:r>
        <w:rPr>
          <w:rFonts w:hint="eastAsia" w:ascii="楷体" w:hAnsi="楷体" w:eastAsia="楷体" w:cs="楷体"/>
          <w:b/>
          <w:bCs/>
          <w:sz w:val="28"/>
          <w:szCs w:val="28"/>
          <w:lang w:val="en-US" w:eastAsia="zh-CN"/>
        </w:rPr>
        <w:t>③</w:t>
      </w:r>
      <w:r>
        <w:rPr>
          <w:rFonts w:hint="eastAsia" w:ascii="楷体" w:hAnsi="楷体" w:eastAsia="楷体" w:cs="楷体"/>
          <w:b/>
          <w:bCs/>
          <w:sz w:val="28"/>
          <w:szCs w:val="28"/>
        </w:rPr>
        <w:t>适应症广</w:t>
      </w:r>
    </w:p>
    <w:p w14:paraId="62EAD248">
      <w:pPr>
        <w:rPr>
          <w:rFonts w:hint="eastAsia" w:ascii="楷体" w:hAnsi="楷体" w:eastAsia="楷体" w:cs="楷体"/>
          <w:sz w:val="28"/>
          <w:szCs w:val="28"/>
        </w:rPr>
      </w:pPr>
      <w:r>
        <w:rPr>
          <w:rFonts w:hint="eastAsia" w:ascii="楷体" w:hAnsi="楷体" w:eastAsia="楷体" w:cs="楷体"/>
          <w:sz w:val="28"/>
          <w:szCs w:val="28"/>
        </w:rPr>
        <w:t xml:space="preserve">如Secukinumab获批的适应症有不同类型的银屑病、银屑病关节炎、强直性关节炎、化脓性汗腺炎、风湿性疾病等，临床试验还在不断探索更多适应症。  </w:t>
      </w:r>
    </w:p>
    <w:p w14:paraId="6BBA7A9A">
      <w:pPr>
        <w:rPr>
          <w:rFonts w:hint="eastAsia" w:ascii="楷体" w:hAnsi="楷体" w:eastAsia="楷体" w:cs="楷体"/>
          <w:b/>
          <w:bCs/>
          <w:sz w:val="28"/>
          <w:szCs w:val="28"/>
        </w:rPr>
      </w:pPr>
      <w:r>
        <w:rPr>
          <w:rFonts w:hint="eastAsia" w:ascii="楷体" w:hAnsi="楷体" w:eastAsia="楷体" w:cs="楷体"/>
          <w:b/>
          <w:bCs/>
          <w:sz w:val="28"/>
          <w:szCs w:val="28"/>
          <w:lang w:val="en-US" w:eastAsia="zh-CN"/>
        </w:rPr>
        <w:t>④</w:t>
      </w:r>
      <w:r>
        <w:rPr>
          <w:rFonts w:hint="eastAsia" w:ascii="楷体" w:hAnsi="楷体" w:eastAsia="楷体" w:cs="楷体"/>
          <w:b/>
          <w:bCs/>
          <w:sz w:val="28"/>
          <w:szCs w:val="28"/>
        </w:rPr>
        <w:t>成药性已验证</w:t>
      </w:r>
    </w:p>
    <w:p w14:paraId="69826484">
      <w:pPr>
        <w:rPr>
          <w:rFonts w:hint="eastAsia" w:ascii="楷体" w:hAnsi="楷体" w:eastAsia="楷体" w:cs="楷体"/>
          <w:sz w:val="28"/>
          <w:szCs w:val="28"/>
        </w:rPr>
      </w:pPr>
      <w:r>
        <w:rPr>
          <w:rFonts w:hint="eastAsia" w:ascii="楷体" w:hAnsi="楷体" w:eastAsia="楷体" w:cs="楷体"/>
          <w:sz w:val="28"/>
          <w:szCs w:val="28"/>
        </w:rPr>
        <w:t>目前全球已上市的靶向IL-17家族的药物有7款。</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46"/>
        <w:gridCol w:w="1214"/>
        <w:gridCol w:w="2131"/>
        <w:gridCol w:w="2131"/>
      </w:tblGrid>
      <w:tr w14:paraId="53BAF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6" w:type="dxa"/>
          </w:tcPr>
          <w:p w14:paraId="6ACF38B7">
            <w:pPr>
              <w:rPr>
                <w:rFonts w:hint="eastAsia" w:ascii="楷体" w:hAnsi="楷体" w:eastAsia="楷体" w:cs="楷体"/>
                <w:b/>
                <w:bCs/>
                <w:sz w:val="24"/>
                <w:szCs w:val="24"/>
                <w:vertAlign w:val="baseline"/>
              </w:rPr>
            </w:pPr>
            <w:r>
              <w:rPr>
                <w:rFonts w:hint="eastAsia" w:ascii="楷体" w:hAnsi="楷体" w:eastAsia="楷体" w:cs="楷体"/>
                <w:b/>
                <w:bCs/>
                <w:sz w:val="24"/>
                <w:szCs w:val="24"/>
              </w:rPr>
              <w:t>名称</w:t>
            </w:r>
          </w:p>
        </w:tc>
        <w:tc>
          <w:tcPr>
            <w:tcW w:w="1214" w:type="dxa"/>
          </w:tcPr>
          <w:p w14:paraId="6B890394">
            <w:pPr>
              <w:rPr>
                <w:rFonts w:hint="eastAsia" w:ascii="楷体" w:hAnsi="楷体" w:eastAsia="楷体" w:cs="楷体"/>
                <w:b/>
                <w:bCs/>
                <w:sz w:val="24"/>
                <w:szCs w:val="24"/>
                <w:vertAlign w:val="baseline"/>
              </w:rPr>
            </w:pPr>
            <w:r>
              <w:rPr>
                <w:rFonts w:hint="eastAsia" w:ascii="楷体" w:hAnsi="楷体" w:eastAsia="楷体" w:cs="楷体"/>
                <w:b/>
                <w:bCs/>
                <w:sz w:val="24"/>
                <w:szCs w:val="24"/>
              </w:rPr>
              <w:t>靶点</w:t>
            </w:r>
          </w:p>
        </w:tc>
        <w:tc>
          <w:tcPr>
            <w:tcW w:w="2131" w:type="dxa"/>
          </w:tcPr>
          <w:p w14:paraId="65BC2999">
            <w:pPr>
              <w:rPr>
                <w:rFonts w:hint="eastAsia" w:ascii="楷体" w:hAnsi="楷体" w:eastAsia="楷体" w:cs="楷体"/>
                <w:b/>
                <w:bCs/>
                <w:sz w:val="24"/>
                <w:szCs w:val="24"/>
                <w:vertAlign w:val="baseline"/>
              </w:rPr>
            </w:pPr>
            <w:r>
              <w:rPr>
                <w:rFonts w:hint="eastAsia" w:ascii="楷体" w:hAnsi="楷体" w:eastAsia="楷体" w:cs="楷体"/>
                <w:b/>
                <w:bCs/>
                <w:sz w:val="24"/>
                <w:szCs w:val="24"/>
              </w:rPr>
              <w:t>原研单位</w:t>
            </w:r>
          </w:p>
        </w:tc>
        <w:tc>
          <w:tcPr>
            <w:tcW w:w="2131" w:type="dxa"/>
          </w:tcPr>
          <w:p w14:paraId="7010D6BD">
            <w:pPr>
              <w:rPr>
                <w:rFonts w:hint="eastAsia" w:ascii="楷体" w:hAnsi="楷体" w:eastAsia="楷体" w:cs="楷体"/>
                <w:b/>
                <w:bCs/>
                <w:sz w:val="24"/>
                <w:szCs w:val="24"/>
                <w:vertAlign w:val="baseline"/>
              </w:rPr>
            </w:pPr>
            <w:r>
              <w:rPr>
                <w:rFonts w:hint="eastAsia" w:ascii="楷体" w:hAnsi="楷体" w:eastAsia="楷体" w:cs="楷体"/>
                <w:b/>
                <w:bCs/>
                <w:sz w:val="24"/>
                <w:szCs w:val="24"/>
              </w:rPr>
              <w:t>在研适应症</w:t>
            </w:r>
          </w:p>
        </w:tc>
      </w:tr>
      <w:tr w14:paraId="3D4AC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6" w:type="dxa"/>
          </w:tcPr>
          <w:p w14:paraId="2B882E56">
            <w:pPr>
              <w:rPr>
                <w:rFonts w:hint="eastAsia" w:ascii="楷体" w:hAnsi="楷体" w:eastAsia="楷体" w:cs="楷体"/>
                <w:sz w:val="24"/>
                <w:szCs w:val="24"/>
                <w:vertAlign w:val="baseline"/>
              </w:rPr>
            </w:pPr>
            <w:r>
              <w:rPr>
                <w:rFonts w:hint="eastAsia" w:ascii="楷体" w:hAnsi="楷体" w:eastAsia="楷体" w:cs="楷体"/>
                <w:sz w:val="24"/>
                <w:szCs w:val="24"/>
              </w:rPr>
              <w:t>Secukinumab/司库奇优单抗</w:t>
            </w:r>
          </w:p>
        </w:tc>
        <w:tc>
          <w:tcPr>
            <w:tcW w:w="1214" w:type="dxa"/>
          </w:tcPr>
          <w:p w14:paraId="3FEF1B3A">
            <w:pPr>
              <w:rPr>
                <w:rFonts w:hint="eastAsia" w:ascii="楷体" w:hAnsi="楷体" w:eastAsia="楷体" w:cs="楷体"/>
                <w:sz w:val="24"/>
                <w:szCs w:val="24"/>
                <w:vertAlign w:val="baseline"/>
              </w:rPr>
            </w:pPr>
            <w:r>
              <w:rPr>
                <w:rFonts w:hint="eastAsia" w:ascii="楷体" w:hAnsi="楷体" w:eastAsia="楷体" w:cs="楷体"/>
                <w:sz w:val="24"/>
                <w:szCs w:val="24"/>
              </w:rPr>
              <w:t>IL-17A</w:t>
            </w:r>
          </w:p>
        </w:tc>
        <w:tc>
          <w:tcPr>
            <w:tcW w:w="2131" w:type="dxa"/>
          </w:tcPr>
          <w:p w14:paraId="61631965">
            <w:pPr>
              <w:rPr>
                <w:rFonts w:hint="eastAsia" w:ascii="楷体" w:hAnsi="楷体" w:eastAsia="楷体" w:cs="楷体"/>
                <w:sz w:val="24"/>
                <w:szCs w:val="24"/>
                <w:vertAlign w:val="baseline"/>
              </w:rPr>
            </w:pPr>
            <w:r>
              <w:rPr>
                <w:rFonts w:hint="eastAsia" w:ascii="楷体" w:hAnsi="楷体" w:eastAsia="楷体" w:cs="楷体"/>
                <w:sz w:val="24"/>
                <w:szCs w:val="24"/>
              </w:rPr>
              <w:t>诺华</w:t>
            </w:r>
          </w:p>
        </w:tc>
        <w:tc>
          <w:tcPr>
            <w:tcW w:w="2131" w:type="dxa"/>
          </w:tcPr>
          <w:p w14:paraId="6B96709E">
            <w:pPr>
              <w:rPr>
                <w:rFonts w:hint="eastAsia" w:ascii="楷体" w:hAnsi="楷体" w:eastAsia="楷体" w:cs="楷体"/>
                <w:sz w:val="24"/>
                <w:szCs w:val="24"/>
                <w:vertAlign w:val="baseline"/>
              </w:rPr>
            </w:pPr>
            <w:r>
              <w:rPr>
                <w:rFonts w:hint="eastAsia" w:ascii="楷体" w:hAnsi="楷体" w:eastAsia="楷体" w:cs="楷体"/>
                <w:sz w:val="24"/>
                <w:szCs w:val="24"/>
              </w:rPr>
              <w:t>Ps、PsA、AS等</w:t>
            </w:r>
          </w:p>
        </w:tc>
      </w:tr>
      <w:tr w14:paraId="79206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6" w:type="dxa"/>
          </w:tcPr>
          <w:p w14:paraId="76340033">
            <w:pPr>
              <w:rPr>
                <w:rFonts w:hint="eastAsia" w:ascii="楷体" w:hAnsi="楷体" w:eastAsia="楷体" w:cs="楷体"/>
                <w:sz w:val="24"/>
                <w:szCs w:val="24"/>
                <w:vertAlign w:val="baseline"/>
              </w:rPr>
            </w:pPr>
            <w:r>
              <w:rPr>
                <w:rFonts w:hint="eastAsia" w:ascii="楷体" w:hAnsi="楷体" w:eastAsia="楷体" w:cs="楷体"/>
                <w:sz w:val="24"/>
                <w:szCs w:val="24"/>
              </w:rPr>
              <w:t>Secukinumab/依奇珠单抗</w:t>
            </w:r>
          </w:p>
        </w:tc>
        <w:tc>
          <w:tcPr>
            <w:tcW w:w="1214" w:type="dxa"/>
          </w:tcPr>
          <w:p w14:paraId="6A93C785">
            <w:pPr>
              <w:rPr>
                <w:rFonts w:hint="eastAsia" w:ascii="楷体" w:hAnsi="楷体" w:eastAsia="楷体" w:cs="楷体"/>
                <w:sz w:val="24"/>
                <w:szCs w:val="24"/>
                <w:vertAlign w:val="baseline"/>
              </w:rPr>
            </w:pPr>
            <w:r>
              <w:rPr>
                <w:rFonts w:hint="eastAsia" w:ascii="楷体" w:hAnsi="楷体" w:eastAsia="楷体" w:cs="楷体"/>
                <w:sz w:val="24"/>
                <w:szCs w:val="24"/>
              </w:rPr>
              <w:t>IL-17A</w:t>
            </w:r>
          </w:p>
        </w:tc>
        <w:tc>
          <w:tcPr>
            <w:tcW w:w="2131" w:type="dxa"/>
          </w:tcPr>
          <w:p w14:paraId="045A7207">
            <w:pPr>
              <w:rPr>
                <w:rFonts w:hint="eastAsia" w:ascii="楷体" w:hAnsi="楷体" w:eastAsia="楷体" w:cs="楷体"/>
                <w:sz w:val="24"/>
                <w:szCs w:val="24"/>
                <w:vertAlign w:val="baseline"/>
              </w:rPr>
            </w:pPr>
            <w:r>
              <w:rPr>
                <w:rFonts w:hint="eastAsia" w:ascii="楷体" w:hAnsi="楷体" w:eastAsia="楷体" w:cs="楷体"/>
                <w:sz w:val="24"/>
                <w:szCs w:val="24"/>
              </w:rPr>
              <w:t>礼来</w:t>
            </w:r>
          </w:p>
        </w:tc>
        <w:tc>
          <w:tcPr>
            <w:tcW w:w="2131" w:type="dxa"/>
          </w:tcPr>
          <w:p w14:paraId="5DD130A0">
            <w:pPr>
              <w:rPr>
                <w:rFonts w:hint="eastAsia" w:ascii="楷体" w:hAnsi="楷体" w:eastAsia="楷体" w:cs="楷体"/>
                <w:sz w:val="24"/>
                <w:szCs w:val="24"/>
                <w:vertAlign w:val="baseline"/>
              </w:rPr>
            </w:pPr>
            <w:r>
              <w:rPr>
                <w:rFonts w:hint="eastAsia" w:ascii="楷体" w:hAnsi="楷体" w:eastAsia="楷体" w:cs="楷体"/>
                <w:sz w:val="24"/>
                <w:szCs w:val="24"/>
              </w:rPr>
              <w:t>Ps、PsA、AS等</w:t>
            </w:r>
          </w:p>
        </w:tc>
      </w:tr>
      <w:tr w14:paraId="05008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6" w:type="dxa"/>
          </w:tcPr>
          <w:p w14:paraId="195545A2">
            <w:pPr>
              <w:rPr>
                <w:rFonts w:hint="eastAsia" w:ascii="楷体" w:hAnsi="楷体" w:eastAsia="楷体" w:cs="楷体"/>
                <w:sz w:val="24"/>
                <w:szCs w:val="24"/>
                <w:vertAlign w:val="baseline"/>
              </w:rPr>
            </w:pPr>
            <w:r>
              <w:rPr>
                <w:rFonts w:hint="eastAsia" w:ascii="楷体" w:hAnsi="楷体" w:eastAsia="楷体" w:cs="楷体"/>
                <w:sz w:val="24"/>
                <w:szCs w:val="24"/>
              </w:rPr>
              <w:t>Netakimab/尼塔奇单抗</w:t>
            </w:r>
          </w:p>
        </w:tc>
        <w:tc>
          <w:tcPr>
            <w:tcW w:w="1214" w:type="dxa"/>
          </w:tcPr>
          <w:p w14:paraId="22C3DF02">
            <w:pPr>
              <w:rPr>
                <w:rFonts w:hint="eastAsia" w:ascii="楷体" w:hAnsi="楷体" w:eastAsia="楷体" w:cs="楷体"/>
                <w:sz w:val="24"/>
                <w:szCs w:val="24"/>
                <w:vertAlign w:val="baseline"/>
              </w:rPr>
            </w:pPr>
            <w:r>
              <w:rPr>
                <w:rFonts w:hint="eastAsia" w:ascii="楷体" w:hAnsi="楷体" w:eastAsia="楷体" w:cs="楷体"/>
                <w:sz w:val="24"/>
                <w:szCs w:val="24"/>
              </w:rPr>
              <w:t>IL-17A</w:t>
            </w:r>
          </w:p>
        </w:tc>
        <w:tc>
          <w:tcPr>
            <w:tcW w:w="2131" w:type="dxa"/>
          </w:tcPr>
          <w:p w14:paraId="436DC0D2">
            <w:pPr>
              <w:rPr>
                <w:rFonts w:hint="eastAsia" w:ascii="楷体" w:hAnsi="楷体" w:eastAsia="楷体" w:cs="楷体"/>
                <w:sz w:val="24"/>
                <w:szCs w:val="24"/>
                <w:vertAlign w:val="baseline"/>
              </w:rPr>
            </w:pPr>
            <w:r>
              <w:rPr>
                <w:rFonts w:hint="eastAsia" w:ascii="楷体" w:hAnsi="楷体" w:eastAsia="楷体" w:cs="楷体"/>
                <w:sz w:val="24"/>
                <w:szCs w:val="24"/>
              </w:rPr>
              <w:t>Biocad</w:t>
            </w:r>
          </w:p>
        </w:tc>
        <w:tc>
          <w:tcPr>
            <w:tcW w:w="2131" w:type="dxa"/>
          </w:tcPr>
          <w:p w14:paraId="60FC436A">
            <w:pPr>
              <w:rPr>
                <w:rFonts w:hint="eastAsia" w:ascii="楷体" w:hAnsi="楷体" w:eastAsia="楷体" w:cs="楷体"/>
                <w:sz w:val="24"/>
                <w:szCs w:val="24"/>
                <w:vertAlign w:val="baseline"/>
              </w:rPr>
            </w:pPr>
            <w:r>
              <w:rPr>
                <w:rFonts w:hint="eastAsia" w:ascii="楷体" w:hAnsi="楷体" w:eastAsia="楷体" w:cs="楷体"/>
                <w:sz w:val="24"/>
                <w:szCs w:val="24"/>
              </w:rPr>
              <w:t>Ps、PsA、AS等</w:t>
            </w:r>
          </w:p>
        </w:tc>
      </w:tr>
      <w:tr w14:paraId="08D2E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6" w:type="dxa"/>
          </w:tcPr>
          <w:p w14:paraId="479F370C">
            <w:pPr>
              <w:rPr>
                <w:rFonts w:hint="eastAsia" w:ascii="楷体" w:hAnsi="楷体" w:eastAsia="楷体" w:cs="楷体"/>
                <w:sz w:val="24"/>
                <w:szCs w:val="24"/>
                <w:vertAlign w:val="baseline"/>
              </w:rPr>
            </w:pPr>
            <w:r>
              <w:rPr>
                <w:rFonts w:hint="eastAsia" w:ascii="楷体" w:hAnsi="楷体" w:eastAsia="楷体" w:cs="楷体"/>
                <w:sz w:val="24"/>
                <w:szCs w:val="24"/>
              </w:rPr>
              <w:t>Bimekizumab/比奇珠单抗</w:t>
            </w:r>
          </w:p>
        </w:tc>
        <w:tc>
          <w:tcPr>
            <w:tcW w:w="1214" w:type="dxa"/>
          </w:tcPr>
          <w:p w14:paraId="34438811">
            <w:pPr>
              <w:rPr>
                <w:rFonts w:hint="eastAsia" w:ascii="楷体" w:hAnsi="楷体" w:eastAsia="楷体" w:cs="楷体"/>
                <w:sz w:val="24"/>
                <w:szCs w:val="24"/>
                <w:vertAlign w:val="baseline"/>
              </w:rPr>
            </w:pPr>
            <w:r>
              <w:rPr>
                <w:rFonts w:hint="eastAsia" w:ascii="楷体" w:hAnsi="楷体" w:eastAsia="楷体" w:cs="楷体"/>
                <w:sz w:val="24"/>
                <w:szCs w:val="24"/>
              </w:rPr>
              <w:t>IL-17A/F</w:t>
            </w:r>
          </w:p>
        </w:tc>
        <w:tc>
          <w:tcPr>
            <w:tcW w:w="2131" w:type="dxa"/>
          </w:tcPr>
          <w:p w14:paraId="1F524B94">
            <w:pPr>
              <w:rPr>
                <w:rFonts w:hint="eastAsia" w:ascii="楷体" w:hAnsi="楷体" w:eastAsia="楷体" w:cs="楷体"/>
                <w:sz w:val="24"/>
                <w:szCs w:val="24"/>
                <w:vertAlign w:val="baseline"/>
              </w:rPr>
            </w:pPr>
            <w:r>
              <w:rPr>
                <w:rFonts w:hint="eastAsia" w:ascii="楷体" w:hAnsi="楷体" w:eastAsia="楷体" w:cs="楷体"/>
                <w:sz w:val="24"/>
                <w:szCs w:val="24"/>
              </w:rPr>
              <w:t>优时比</w:t>
            </w:r>
          </w:p>
        </w:tc>
        <w:tc>
          <w:tcPr>
            <w:tcW w:w="2131" w:type="dxa"/>
          </w:tcPr>
          <w:p w14:paraId="2B71F1ED">
            <w:pPr>
              <w:rPr>
                <w:rFonts w:hint="eastAsia" w:ascii="楷体" w:hAnsi="楷体" w:eastAsia="楷体" w:cs="楷体"/>
                <w:sz w:val="24"/>
                <w:szCs w:val="24"/>
                <w:vertAlign w:val="baseline"/>
              </w:rPr>
            </w:pPr>
            <w:r>
              <w:rPr>
                <w:rFonts w:hint="eastAsia" w:ascii="楷体" w:hAnsi="楷体" w:eastAsia="楷体" w:cs="楷体"/>
                <w:sz w:val="24"/>
                <w:szCs w:val="24"/>
              </w:rPr>
              <w:t>Ps、PsA、AS等</w:t>
            </w:r>
          </w:p>
        </w:tc>
      </w:tr>
      <w:tr w14:paraId="7A5F2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6" w:type="dxa"/>
          </w:tcPr>
          <w:p w14:paraId="50FF7374">
            <w:pPr>
              <w:rPr>
                <w:rFonts w:hint="eastAsia" w:ascii="楷体" w:hAnsi="楷体" w:eastAsia="楷体" w:cs="楷体"/>
                <w:sz w:val="24"/>
                <w:szCs w:val="24"/>
                <w:vertAlign w:val="baseline"/>
              </w:rPr>
            </w:pPr>
            <w:r>
              <w:rPr>
                <w:rFonts w:hint="eastAsia" w:ascii="楷体" w:hAnsi="楷体" w:eastAsia="楷体" w:cs="楷体"/>
                <w:sz w:val="24"/>
                <w:szCs w:val="24"/>
              </w:rPr>
              <w:t>Xeligekimab/赛立奇单抗</w:t>
            </w:r>
          </w:p>
        </w:tc>
        <w:tc>
          <w:tcPr>
            <w:tcW w:w="1214" w:type="dxa"/>
          </w:tcPr>
          <w:p w14:paraId="14F9A9BE">
            <w:pPr>
              <w:rPr>
                <w:rFonts w:hint="eastAsia" w:ascii="楷体" w:hAnsi="楷体" w:eastAsia="楷体" w:cs="楷体"/>
                <w:sz w:val="24"/>
                <w:szCs w:val="24"/>
                <w:vertAlign w:val="baseline"/>
              </w:rPr>
            </w:pPr>
            <w:r>
              <w:rPr>
                <w:rFonts w:hint="eastAsia" w:ascii="楷体" w:hAnsi="楷体" w:eastAsia="楷体" w:cs="楷体"/>
                <w:sz w:val="24"/>
                <w:szCs w:val="24"/>
              </w:rPr>
              <w:t>IL-17A</w:t>
            </w:r>
          </w:p>
        </w:tc>
        <w:tc>
          <w:tcPr>
            <w:tcW w:w="2131" w:type="dxa"/>
          </w:tcPr>
          <w:p w14:paraId="2310A6B8">
            <w:pPr>
              <w:rPr>
                <w:rFonts w:hint="eastAsia" w:ascii="楷体" w:hAnsi="楷体" w:eastAsia="楷体" w:cs="楷体"/>
                <w:sz w:val="24"/>
                <w:szCs w:val="24"/>
                <w:vertAlign w:val="baseline"/>
              </w:rPr>
            </w:pPr>
            <w:r>
              <w:rPr>
                <w:rFonts w:hint="eastAsia" w:ascii="楷体" w:hAnsi="楷体" w:eastAsia="楷体" w:cs="楷体"/>
                <w:sz w:val="24"/>
                <w:szCs w:val="24"/>
              </w:rPr>
              <w:t>智翔</w:t>
            </w:r>
          </w:p>
        </w:tc>
        <w:tc>
          <w:tcPr>
            <w:tcW w:w="2131" w:type="dxa"/>
          </w:tcPr>
          <w:p w14:paraId="115FF9F7">
            <w:pPr>
              <w:rPr>
                <w:rFonts w:hint="eastAsia" w:ascii="楷体" w:hAnsi="楷体" w:eastAsia="楷体" w:cs="楷体"/>
                <w:sz w:val="24"/>
                <w:szCs w:val="24"/>
                <w:vertAlign w:val="baseline"/>
              </w:rPr>
            </w:pPr>
            <w:r>
              <w:rPr>
                <w:rFonts w:hint="eastAsia" w:ascii="楷体" w:hAnsi="楷体" w:eastAsia="楷体" w:cs="楷体"/>
                <w:sz w:val="24"/>
                <w:szCs w:val="24"/>
              </w:rPr>
              <w:t>Ps</w:t>
            </w:r>
          </w:p>
        </w:tc>
      </w:tr>
      <w:tr w14:paraId="561DE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6" w:type="dxa"/>
          </w:tcPr>
          <w:p w14:paraId="14B6C633">
            <w:pPr>
              <w:rPr>
                <w:rFonts w:hint="eastAsia" w:ascii="楷体" w:hAnsi="楷体" w:eastAsia="楷体" w:cs="楷体"/>
                <w:sz w:val="24"/>
                <w:szCs w:val="24"/>
                <w:vertAlign w:val="baseline"/>
              </w:rPr>
            </w:pPr>
            <w:r>
              <w:rPr>
                <w:rFonts w:hint="eastAsia" w:ascii="楷体" w:hAnsi="楷体" w:eastAsia="楷体" w:cs="楷体"/>
                <w:sz w:val="24"/>
                <w:szCs w:val="24"/>
              </w:rPr>
              <w:t>Vunakizumab/夫那奇珠单抗</w:t>
            </w:r>
          </w:p>
        </w:tc>
        <w:tc>
          <w:tcPr>
            <w:tcW w:w="1214" w:type="dxa"/>
          </w:tcPr>
          <w:p w14:paraId="085B52A6">
            <w:pPr>
              <w:rPr>
                <w:rFonts w:hint="eastAsia" w:ascii="楷体" w:hAnsi="楷体" w:eastAsia="楷体" w:cs="楷体"/>
                <w:sz w:val="24"/>
                <w:szCs w:val="24"/>
                <w:vertAlign w:val="baseline"/>
              </w:rPr>
            </w:pPr>
            <w:r>
              <w:rPr>
                <w:rFonts w:hint="eastAsia" w:ascii="楷体" w:hAnsi="楷体" w:eastAsia="楷体" w:cs="楷体"/>
                <w:sz w:val="24"/>
                <w:szCs w:val="24"/>
              </w:rPr>
              <w:t>IL-17A</w:t>
            </w:r>
          </w:p>
        </w:tc>
        <w:tc>
          <w:tcPr>
            <w:tcW w:w="2131" w:type="dxa"/>
          </w:tcPr>
          <w:p w14:paraId="74FB759C">
            <w:pPr>
              <w:rPr>
                <w:rFonts w:hint="eastAsia" w:ascii="楷体" w:hAnsi="楷体" w:eastAsia="楷体" w:cs="楷体"/>
                <w:sz w:val="24"/>
                <w:szCs w:val="24"/>
                <w:vertAlign w:val="baseline"/>
              </w:rPr>
            </w:pPr>
            <w:r>
              <w:rPr>
                <w:rFonts w:hint="eastAsia" w:ascii="楷体" w:hAnsi="楷体" w:eastAsia="楷体" w:cs="楷体"/>
                <w:sz w:val="24"/>
                <w:szCs w:val="24"/>
              </w:rPr>
              <w:t>恒瑞</w:t>
            </w:r>
          </w:p>
        </w:tc>
        <w:tc>
          <w:tcPr>
            <w:tcW w:w="2131" w:type="dxa"/>
          </w:tcPr>
          <w:p w14:paraId="098EF7D9">
            <w:pPr>
              <w:rPr>
                <w:rFonts w:hint="eastAsia" w:ascii="楷体" w:hAnsi="楷体" w:eastAsia="楷体" w:cs="楷体"/>
                <w:sz w:val="24"/>
                <w:szCs w:val="24"/>
                <w:vertAlign w:val="baseline"/>
              </w:rPr>
            </w:pPr>
            <w:r>
              <w:rPr>
                <w:rFonts w:hint="eastAsia" w:ascii="楷体" w:hAnsi="楷体" w:eastAsia="楷体" w:cs="楷体"/>
                <w:sz w:val="24"/>
                <w:szCs w:val="24"/>
              </w:rPr>
              <w:t>AS、Ps</w:t>
            </w:r>
          </w:p>
        </w:tc>
      </w:tr>
      <w:tr w14:paraId="20D2A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6" w:type="dxa"/>
          </w:tcPr>
          <w:p w14:paraId="48DEAD9B">
            <w:pPr>
              <w:rPr>
                <w:rFonts w:hint="eastAsia" w:ascii="楷体" w:hAnsi="楷体" w:eastAsia="楷体" w:cs="楷体"/>
                <w:sz w:val="24"/>
                <w:szCs w:val="24"/>
                <w:vertAlign w:val="baseline"/>
              </w:rPr>
            </w:pPr>
            <w:r>
              <w:rPr>
                <w:rFonts w:hint="eastAsia" w:ascii="楷体" w:hAnsi="楷体" w:eastAsia="楷体" w:cs="楷体"/>
                <w:sz w:val="24"/>
                <w:szCs w:val="24"/>
              </w:rPr>
              <w:t>Brodalumab/布罗利尤单抗</w:t>
            </w:r>
          </w:p>
        </w:tc>
        <w:tc>
          <w:tcPr>
            <w:tcW w:w="1214" w:type="dxa"/>
          </w:tcPr>
          <w:p w14:paraId="6B510443">
            <w:pPr>
              <w:rPr>
                <w:rFonts w:hint="eastAsia" w:ascii="楷体" w:hAnsi="楷体" w:eastAsia="楷体" w:cs="楷体"/>
                <w:sz w:val="24"/>
                <w:szCs w:val="24"/>
                <w:vertAlign w:val="baseline"/>
              </w:rPr>
            </w:pPr>
            <w:r>
              <w:rPr>
                <w:rFonts w:hint="eastAsia" w:ascii="楷体" w:hAnsi="楷体" w:eastAsia="楷体" w:cs="楷体"/>
                <w:sz w:val="24"/>
                <w:szCs w:val="24"/>
              </w:rPr>
              <w:t>IL-17RA</w:t>
            </w:r>
          </w:p>
        </w:tc>
        <w:tc>
          <w:tcPr>
            <w:tcW w:w="2131" w:type="dxa"/>
          </w:tcPr>
          <w:p w14:paraId="6D79D0D5">
            <w:pPr>
              <w:rPr>
                <w:rFonts w:hint="eastAsia" w:ascii="楷体" w:hAnsi="楷体" w:eastAsia="楷体" w:cs="楷体"/>
                <w:sz w:val="24"/>
                <w:szCs w:val="24"/>
                <w:vertAlign w:val="baseline"/>
              </w:rPr>
            </w:pPr>
            <w:r>
              <w:rPr>
                <w:rFonts w:hint="eastAsia" w:ascii="楷体" w:hAnsi="楷体" w:eastAsia="楷体" w:cs="楷体"/>
                <w:sz w:val="24"/>
                <w:szCs w:val="24"/>
              </w:rPr>
              <w:t>安进</w:t>
            </w:r>
          </w:p>
        </w:tc>
        <w:tc>
          <w:tcPr>
            <w:tcW w:w="2131" w:type="dxa"/>
          </w:tcPr>
          <w:p w14:paraId="070BE05F">
            <w:pPr>
              <w:rPr>
                <w:rFonts w:hint="eastAsia" w:ascii="楷体" w:hAnsi="楷体" w:eastAsia="楷体" w:cs="楷体"/>
                <w:sz w:val="24"/>
                <w:szCs w:val="24"/>
                <w:vertAlign w:val="baseline"/>
              </w:rPr>
            </w:pPr>
            <w:r>
              <w:rPr>
                <w:rFonts w:hint="eastAsia" w:ascii="楷体" w:hAnsi="楷体" w:eastAsia="楷体" w:cs="楷体"/>
                <w:sz w:val="24"/>
                <w:szCs w:val="24"/>
              </w:rPr>
              <w:t>Ps、PsA、AS等</w:t>
            </w:r>
          </w:p>
        </w:tc>
      </w:tr>
    </w:tbl>
    <w:p w14:paraId="01516853">
      <w:pPr>
        <w:rPr>
          <w:rFonts w:hint="eastAsia" w:ascii="楷体" w:hAnsi="楷体" w:eastAsia="楷体" w:cs="楷体"/>
          <w:sz w:val="28"/>
          <w:szCs w:val="28"/>
        </w:rPr>
      </w:pPr>
    </w:p>
    <w:p w14:paraId="6D2EAFED">
      <w:pPr>
        <w:rPr>
          <w:rFonts w:hint="eastAsia" w:ascii="楷体" w:hAnsi="楷体" w:eastAsia="楷体" w:cs="楷体"/>
          <w:sz w:val="24"/>
          <w:szCs w:val="24"/>
        </w:rPr>
      </w:pPr>
      <w:r>
        <w:rPr>
          <w:rFonts w:hint="eastAsia" w:ascii="楷体" w:hAnsi="楷体" w:eastAsia="楷体" w:cs="楷体"/>
          <w:sz w:val="24"/>
          <w:szCs w:val="24"/>
        </w:rPr>
        <w:t>在研适应症缩写：Ps: 银屑病；PsA: 银屑病关节炎；AS: 强直性脊柱炎</w:t>
      </w:r>
    </w:p>
    <w:p w14:paraId="56C2761F">
      <w:pPr>
        <w:pStyle w:val="3"/>
        <w:bidi w:val="0"/>
        <w:rPr>
          <w:rFonts w:hint="eastAsia" w:ascii="楷体" w:hAnsi="楷体" w:eastAsia="楷体" w:cs="楷体"/>
        </w:rPr>
      </w:pPr>
      <w:r>
        <w:rPr>
          <w:rFonts w:hint="eastAsia" w:ascii="楷体" w:hAnsi="楷体" w:eastAsia="楷体" w:cs="楷体"/>
        </w:rPr>
        <w:t>05结语：IL-17的“诗与远方”</w:t>
      </w:r>
    </w:p>
    <w:p w14:paraId="6D1E4092">
      <w:pPr>
        <w:rPr>
          <w:rFonts w:hint="eastAsia" w:ascii="楷体" w:hAnsi="楷体" w:eastAsia="楷体" w:cs="楷体"/>
          <w:sz w:val="28"/>
          <w:szCs w:val="28"/>
        </w:rPr>
      </w:pPr>
      <w:r>
        <w:rPr>
          <w:rFonts w:hint="eastAsia" w:ascii="楷体" w:hAnsi="楷体" w:eastAsia="楷体" w:cs="楷体"/>
          <w:sz w:val="28"/>
          <w:szCs w:val="28"/>
        </w:rPr>
        <w:t>从改写教科书的基础发现，到重塑治疗格局的临床突破，IL-17在自免疾病领域的研究见证了免疫学向精准医学的跨越。随着对IL-17信号通路的深入解析，IL-17靶向治疗必将为更多自免疾病患者带来新的希望。</w:t>
      </w:r>
    </w:p>
    <w:p w14:paraId="6E41E1A5">
      <w:pPr>
        <w:rPr>
          <w:rFonts w:hint="eastAsia" w:ascii="楷体" w:hAnsi="楷体" w:eastAsia="楷体" w:cs="楷体"/>
          <w:sz w:val="28"/>
          <w:szCs w:val="28"/>
        </w:rPr>
      </w:pPr>
    </w:p>
    <w:p w14:paraId="31A4D38F">
      <w:pPr>
        <w:pStyle w:val="3"/>
        <w:bidi w:val="0"/>
        <w:rPr>
          <w:rFonts w:hint="eastAsia" w:ascii="楷体" w:hAnsi="楷体" w:eastAsia="楷体" w:cs="楷体"/>
        </w:rPr>
      </w:pPr>
      <w:r>
        <w:rPr>
          <w:rFonts w:hint="eastAsia" w:ascii="楷体" w:hAnsi="楷体" w:eastAsia="楷体" w:cs="楷体"/>
        </w:rPr>
        <w:t>✦义翘神州自免解决方案</w:t>
      </w:r>
    </w:p>
    <w:p w14:paraId="53A88735">
      <w:pPr>
        <w:rPr>
          <w:rFonts w:hint="eastAsia" w:ascii="楷体" w:hAnsi="楷体" w:eastAsia="楷体" w:cs="楷体"/>
          <w:sz w:val="28"/>
          <w:szCs w:val="28"/>
        </w:rPr>
      </w:pPr>
      <w:r>
        <w:rPr>
          <w:rFonts w:hint="eastAsia" w:ascii="楷体" w:hAnsi="楷体" w:eastAsia="楷体" w:cs="楷体"/>
          <w:sz w:val="28"/>
          <w:szCs w:val="28"/>
        </w:rPr>
        <w:t>义翘神州提供自免疾病科研解决方案，包括靶点蛋白、细胞因子、激酶等靶点研究试剂，以及用于生物标志物的研究试剂，在推动自免疾病靶向药物开发和早期检测领域发挥关键作用。</w:t>
      </w:r>
    </w:p>
    <w:p w14:paraId="6CC515EB">
      <w:pPr>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5266690" cy="2438400"/>
            <wp:effectExtent l="0" t="0" r="10160" b="0"/>
            <wp:docPr id="24" name="图片 24"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5"/>
                    <pic:cNvPicPr>
                      <a:picLocks noChangeAspect="1"/>
                    </pic:cNvPicPr>
                  </pic:nvPicPr>
                  <pic:blipFill>
                    <a:blip r:embed="rId6"/>
                    <a:stretch>
                      <a:fillRect/>
                    </a:stretch>
                  </pic:blipFill>
                  <pic:spPr>
                    <a:xfrm>
                      <a:off x="0" y="0"/>
                      <a:ext cx="5266690" cy="2438400"/>
                    </a:xfrm>
                    <a:prstGeom prst="rect">
                      <a:avLst/>
                    </a:prstGeom>
                  </pic:spPr>
                </pic:pic>
              </a:graphicData>
            </a:graphic>
          </wp:inline>
        </w:drawing>
      </w:r>
    </w:p>
    <w:p w14:paraId="37AA6FB4">
      <w:pPr>
        <w:rPr>
          <w:rFonts w:hint="eastAsia" w:ascii="楷体" w:hAnsi="楷体" w:eastAsia="楷体" w:cs="楷体"/>
          <w:sz w:val="24"/>
          <w:szCs w:val="24"/>
        </w:rPr>
      </w:pPr>
    </w:p>
    <w:p w14:paraId="13AEE0B3">
      <w:pPr>
        <w:rPr>
          <w:rFonts w:hint="eastAsia" w:ascii="楷体" w:hAnsi="楷体" w:eastAsia="楷体" w:cs="楷体"/>
          <w:sz w:val="24"/>
          <w:szCs w:val="24"/>
        </w:rPr>
      </w:pPr>
    </w:p>
    <w:p w14:paraId="51304D69">
      <w:pPr>
        <w:rPr>
          <w:rFonts w:hint="eastAsia" w:ascii="楷体" w:hAnsi="楷体" w:eastAsia="楷体" w:cs="楷体"/>
          <w:sz w:val="24"/>
          <w:szCs w:val="24"/>
        </w:rPr>
      </w:pPr>
      <w:r>
        <w:rPr>
          <w:rFonts w:hint="eastAsia" w:ascii="楷体" w:hAnsi="楷体" w:eastAsia="楷体" w:cs="楷体"/>
          <w:sz w:val="24"/>
          <w:szCs w:val="24"/>
        </w:rPr>
        <w:t>免责声明：义翘神州内容团队仅是分享和解读公开的研究论文及其发现，专注于介绍全球生物医药研究新进展。本文仅作信息交流用，文中观点不代表义翘神州立场。随着对疾病机制研究的深入，新的实验结果或结论可能会修改或推翻文中的描述，还请大家理解。</w:t>
      </w:r>
    </w:p>
    <w:p w14:paraId="79670FBD">
      <w:pPr>
        <w:rPr>
          <w:rFonts w:hint="eastAsia" w:ascii="楷体" w:hAnsi="楷体" w:eastAsia="楷体" w:cs="楷体"/>
          <w:sz w:val="24"/>
          <w:szCs w:val="24"/>
        </w:rPr>
      </w:pPr>
      <w:r>
        <w:rPr>
          <w:rFonts w:hint="eastAsia" w:ascii="楷体" w:hAnsi="楷体" w:eastAsia="楷体" w:cs="楷体"/>
          <w:sz w:val="24"/>
          <w:szCs w:val="24"/>
        </w:rPr>
        <w:t>本文不属于治疗方案推荐，如需获得治疗方案指导，请前往正规医院就诊。</w:t>
      </w:r>
    </w:p>
    <w:p w14:paraId="2C432492">
      <w:pPr>
        <w:rPr>
          <w:rFonts w:hint="eastAsia" w:ascii="楷体" w:hAnsi="楷体" w:eastAsia="楷体" w:cs="楷体"/>
          <w:sz w:val="24"/>
          <w:szCs w:val="24"/>
        </w:rPr>
      </w:pPr>
      <w:r>
        <w:rPr>
          <w:rFonts w:hint="eastAsia" w:ascii="楷体" w:hAnsi="楷体" w:eastAsia="楷体" w:cs="楷体"/>
          <w:sz w:val="24"/>
          <w:szCs w:val="24"/>
        </w:rPr>
        <w:t>近期热门推荐</w:t>
      </w:r>
    </w:p>
    <w:p w14:paraId="591206D3">
      <w:pPr>
        <w:rPr>
          <w:rFonts w:hint="eastAsia" w:ascii="楷体" w:hAnsi="楷体" w:eastAsia="楷体" w:cs="楷体"/>
          <w:sz w:val="24"/>
          <w:szCs w:val="24"/>
        </w:rPr>
      </w:pPr>
    </w:p>
    <w:p w14:paraId="08A378DA">
      <w:pPr>
        <w:rPr>
          <w:rFonts w:hint="eastAsia" w:ascii="楷体" w:hAnsi="楷体" w:eastAsia="楷体" w:cs="楷体"/>
          <w:sz w:val="24"/>
          <w:szCs w:val="24"/>
        </w:rPr>
      </w:pPr>
      <w:r>
        <w:rPr>
          <w:rFonts w:hint="eastAsia" w:ascii="楷体" w:hAnsi="楷体" w:eastAsia="楷体" w:cs="楷体"/>
          <w:sz w:val="24"/>
          <w:szCs w:val="24"/>
        </w:rPr>
        <w:t>【参考文献】</w:t>
      </w:r>
    </w:p>
    <w:p w14:paraId="00D26F02">
      <w:pPr>
        <w:numPr>
          <w:ilvl w:val="0"/>
          <w:numId w:val="1"/>
        </w:numPr>
        <w:rPr>
          <w:rFonts w:hint="eastAsia" w:ascii="楷体" w:hAnsi="楷体" w:eastAsia="楷体" w:cs="楷体"/>
          <w:sz w:val="24"/>
          <w:szCs w:val="24"/>
        </w:rPr>
      </w:pPr>
      <w:r>
        <w:rPr>
          <w:rFonts w:hint="eastAsia" w:ascii="楷体" w:hAnsi="楷体" w:eastAsia="楷体" w:cs="楷体"/>
          <w:sz w:val="24"/>
          <w:szCs w:val="24"/>
        </w:rPr>
        <w:t xml:space="preserve">Longjie Huangfu et al. The IL-17 family in diseases: from bench to bedside. Signal Transduction and Targeted Therapy, 2023. </w:t>
      </w:r>
      <w:r>
        <w:rPr>
          <w:rFonts w:hint="eastAsia" w:ascii="楷体" w:hAnsi="楷体" w:eastAsia="楷体" w:cs="楷体"/>
          <w:color w:val="auto"/>
          <w:sz w:val="24"/>
          <w:szCs w:val="24"/>
          <w:u w:val="none"/>
        </w:rPr>
        <w:t>https://doi.org/10.1038/s41392-023-01620-3</w:t>
      </w:r>
    </w:p>
    <w:p w14:paraId="217CF1E6">
      <w:pPr>
        <w:numPr>
          <w:ilvl w:val="0"/>
          <w:numId w:val="1"/>
        </w:numPr>
        <w:ind w:left="0" w:leftChars="0" w:firstLine="0" w:firstLineChars="0"/>
        <w:rPr>
          <w:rFonts w:hint="eastAsia" w:ascii="楷体" w:hAnsi="楷体" w:eastAsia="楷体" w:cs="楷体"/>
          <w:sz w:val="24"/>
          <w:szCs w:val="24"/>
        </w:rPr>
      </w:pPr>
      <w:r>
        <w:rPr>
          <w:rFonts w:hint="eastAsia" w:ascii="楷体" w:hAnsi="楷体" w:eastAsia="楷体" w:cs="楷体"/>
          <w:sz w:val="24"/>
          <w:szCs w:val="24"/>
        </w:rPr>
        <w:t xml:space="preserve">KingstonH.G.Mills. IL-17 and IL-17-producing cells in protection versus pathology. Nature Reviews Immunology, </w:t>
      </w:r>
      <w:r>
        <w:rPr>
          <w:rFonts w:hint="eastAsia" w:ascii="楷体" w:hAnsi="楷体" w:eastAsia="楷体" w:cs="楷体"/>
          <w:color w:val="auto"/>
          <w:sz w:val="24"/>
          <w:szCs w:val="24"/>
          <w:u w:val="none"/>
        </w:rPr>
        <w:t>https://doi.org/10.1038/s41577-022-00746-9</w:t>
      </w:r>
    </w:p>
    <w:p w14:paraId="29279F4E">
      <w:pPr>
        <w:numPr>
          <w:ilvl w:val="0"/>
          <w:numId w:val="1"/>
        </w:numPr>
        <w:ind w:left="0" w:leftChars="0" w:firstLine="0" w:firstLineChars="0"/>
        <w:rPr>
          <w:rFonts w:hint="eastAsia" w:ascii="楷体" w:hAnsi="楷体" w:eastAsia="楷体" w:cs="楷体"/>
          <w:sz w:val="24"/>
          <w:szCs w:val="24"/>
        </w:rPr>
      </w:pPr>
      <w:r>
        <w:rPr>
          <w:rFonts w:hint="eastAsia" w:ascii="楷体" w:hAnsi="楷体" w:eastAsia="楷体" w:cs="楷体"/>
          <w:sz w:val="24"/>
          <w:szCs w:val="24"/>
        </w:rPr>
        <w:t xml:space="preserve">Choong-Hyun Koh, et al. IL-17 and IL-21: Their Immunobiology and Therapeutic Potentials. Immune Netw. 2024. </w:t>
      </w:r>
      <w:r>
        <w:rPr>
          <w:rFonts w:hint="eastAsia" w:ascii="楷体" w:hAnsi="楷体" w:eastAsia="楷体" w:cs="楷体"/>
          <w:color w:val="auto"/>
          <w:sz w:val="24"/>
          <w:szCs w:val="24"/>
          <w:u w:val="none"/>
        </w:rPr>
        <w:t>https://doi.org/10.4110/in.2024.24.e2</w:t>
      </w:r>
    </w:p>
    <w:p w14:paraId="0DDAF09A">
      <w:pPr>
        <w:numPr>
          <w:ilvl w:val="0"/>
          <w:numId w:val="1"/>
        </w:numPr>
        <w:ind w:left="0" w:leftChars="0" w:firstLine="0" w:firstLineChars="0"/>
        <w:rPr>
          <w:rFonts w:hint="eastAsia" w:ascii="楷体" w:hAnsi="楷体" w:eastAsia="楷体" w:cs="楷体"/>
          <w:sz w:val="24"/>
          <w:szCs w:val="24"/>
        </w:rPr>
      </w:pPr>
      <w:r>
        <w:rPr>
          <w:rFonts w:hint="eastAsia" w:ascii="楷体" w:hAnsi="楷体" w:eastAsia="楷体" w:cs="楷体"/>
          <w:sz w:val="24"/>
          <w:szCs w:val="24"/>
        </w:rPr>
        <w:t> Heon Park, et al. A distinct lineage of CD4 T cells regulates tissue inflammation by producing interleukin 17. Nat Immunol. 2005. doi: 10.1038/ni1261.</w:t>
      </w:r>
    </w:p>
    <w:p w14:paraId="454C00F3">
      <w:pPr>
        <w:numPr>
          <w:ilvl w:val="0"/>
          <w:numId w:val="1"/>
        </w:numPr>
        <w:ind w:left="0" w:leftChars="0" w:firstLine="0" w:firstLineChars="0"/>
        <w:rPr>
          <w:rFonts w:hint="eastAsia" w:ascii="楷体" w:hAnsi="楷体" w:eastAsia="楷体" w:cs="楷体"/>
          <w:sz w:val="24"/>
          <w:szCs w:val="24"/>
        </w:rPr>
      </w:pPr>
      <w:r>
        <w:rPr>
          <w:rFonts w:hint="eastAsia" w:ascii="楷体" w:hAnsi="楷体" w:eastAsia="楷体" w:cs="楷体"/>
          <w:sz w:val="24"/>
          <w:szCs w:val="24"/>
        </w:rPr>
        <w:t>Yang Su, et al. Interleukin-17 receptor D constitutes an alternative receptor for interleukin-17A important in psoriasis-like skin inflammation. Sci Immunol. 2019, doi: 10.1126/sciimmunol.aau9657.</w:t>
      </w:r>
    </w:p>
    <w:p w14:paraId="13FD3E5C">
      <w:pPr>
        <w:numPr>
          <w:ilvl w:val="0"/>
          <w:numId w:val="0"/>
        </w:numPr>
        <w:ind w:leftChars="0"/>
        <w:rPr>
          <w:rFonts w:hint="eastAsia" w:ascii="楷体" w:hAnsi="楷体" w:eastAsia="楷体" w:cs="楷体"/>
          <w:sz w:val="24"/>
          <w:szCs w:val="24"/>
        </w:rPr>
      </w:pPr>
      <w:r>
        <w:rPr>
          <w:rFonts w:hint="eastAsia" w:ascii="楷体" w:hAnsi="楷体" w:eastAsia="楷体" w:cs="楷体"/>
          <w:sz w:val="24"/>
          <w:szCs w:val="24"/>
        </w:rPr>
        <w:t>6. Jinling Huang, et al. Interleukin-17D regulates group 3 innate lymphoid cell function through its receptor CD93. Immunity. 2021. doi: 10.1016/j.immuni.2021.03.018.</w:t>
      </w:r>
    </w:p>
    <w:p w14:paraId="7C9E045F"/>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D7C419">
    <w:pPr>
      <w:pStyle w:val="4"/>
    </w:pPr>
    <w:r>
      <mc:AlternateContent>
        <mc:Choice Requires="wps">
          <w:drawing>
            <wp:anchor distT="0" distB="0" distL="0" distR="0" simplePos="0" relativeHeight="251661312" behindDoc="1" locked="0" layoutInCell="1" allowOverlap="1">
              <wp:simplePos x="0" y="0"/>
              <wp:positionH relativeFrom="page">
                <wp:posOffset>3694430</wp:posOffset>
              </wp:positionH>
              <wp:positionV relativeFrom="page">
                <wp:posOffset>9856470</wp:posOffset>
              </wp:positionV>
              <wp:extent cx="2776855" cy="159385"/>
              <wp:effectExtent l="0" t="0" r="0" b="0"/>
              <wp:wrapNone/>
              <wp:docPr id="9" name="Textbox 9"/>
              <wp:cNvGraphicFramePr/>
              <a:graphic xmlns:a="http://schemas.openxmlformats.org/drawingml/2006/main">
                <a:graphicData uri="http://schemas.microsoft.com/office/word/2010/wordprocessingShape">
                  <wps:wsp>
                    <wps:cNvSpPr txBox="1"/>
                    <wps:spPr>
                      <a:xfrm>
                        <a:off x="0" y="0"/>
                        <a:ext cx="2776855" cy="159385"/>
                      </a:xfrm>
                      <a:prstGeom prst="rect">
                        <a:avLst/>
                      </a:prstGeom>
                    </wps:spPr>
                    <wps:txbx>
                      <w:txbxContent>
                        <w:p w14:paraId="1E7B20B8">
                          <w:pPr>
                            <w:spacing w:before="0" w:line="250" w:lineRule="exact"/>
                            <w:ind w:left="20" w:right="0" w:firstLine="0"/>
                            <w:jc w:val="left"/>
                            <w:rPr>
                              <w:sz w:val="21"/>
                            </w:rPr>
                          </w:pPr>
                          <w:r>
                            <w:rPr>
                              <w:spacing w:val="-1"/>
                              <w:sz w:val="21"/>
                            </w:rPr>
                            <w:t>——义翘神州以精品试剂助力您的科研事业！</w:t>
                          </w:r>
                        </w:p>
                      </w:txbxContent>
                    </wps:txbx>
                    <wps:bodyPr wrap="square" lIns="0" tIns="0" rIns="0" bIns="0" rtlCol="0">
                      <a:noAutofit/>
                    </wps:bodyPr>
                  </wps:wsp>
                </a:graphicData>
              </a:graphic>
            </wp:anchor>
          </w:drawing>
        </mc:Choice>
        <mc:Fallback>
          <w:pict>
            <v:shape id="Textbox 9" o:spid="_x0000_s1026" o:spt="202" type="#_x0000_t202" style="position:absolute;left:0pt;margin-left:290.9pt;margin-top:776.1pt;height:12.55pt;width:218.65pt;mso-position-horizontal-relative:page;mso-position-vertical-relative:page;z-index:-251655168;mso-width-relative:page;mso-height-relative:page;" filled="f" stroked="f" coordsize="21600,21600" o:gfxdata="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7+rKktsAAAAOAQAADwAAAAAAAAABACAAAAAiAAAAZHJzL2Rvd25yZXYueG1sUEsBAhQAFAAA&#10;AAgAh07iQHp6/vmzAQAAdAMAAA4AAAAAAAAAAQAgAAAAKgEAAGRycy9lMm9Eb2MueG1sUEsFBgAA&#10;AAAGAAYAWQEAAE8FAAAAAA==&#10;">
              <v:fill on="f" focussize="0,0"/>
              <v:stroke on="f"/>
              <v:imagedata o:title=""/>
              <o:lock v:ext="edit" aspectratio="f"/>
              <v:textbox inset="0mm,0mm,0mm,0mm">
                <w:txbxContent>
                  <w:p w14:paraId="1E7B20B8">
                    <w:pPr>
                      <w:spacing w:before="0" w:line="250" w:lineRule="exact"/>
                      <w:ind w:left="20" w:right="0" w:firstLine="0"/>
                      <w:jc w:val="left"/>
                      <w:rPr>
                        <w:sz w:val="21"/>
                      </w:rPr>
                    </w:pPr>
                    <w:r>
                      <w:rPr>
                        <w:spacing w:val="-1"/>
                        <w:sz w:val="21"/>
                      </w:rPr>
                      <w:t>——义翘神州以精品试剂助力您的科研事业！</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874BC3">
    <w:pPr>
      <w:pStyle w:val="5"/>
    </w:pPr>
    <w:r>
      <mc:AlternateContent>
        <mc:Choice Requires="wps">
          <w:drawing>
            <wp:anchor distT="0" distB="0" distL="0" distR="0" simplePos="0" relativeHeight="251660288" behindDoc="1" locked="0" layoutInCell="1" allowOverlap="1">
              <wp:simplePos x="0" y="0"/>
              <wp:positionH relativeFrom="page">
                <wp:posOffset>4460240</wp:posOffset>
              </wp:positionH>
              <wp:positionV relativeFrom="page">
                <wp:posOffset>787400</wp:posOffset>
              </wp:positionV>
              <wp:extent cx="1988820" cy="159385"/>
              <wp:effectExtent l="0" t="0" r="0" b="0"/>
              <wp:wrapNone/>
              <wp:docPr id="5" name="Textbox 5"/>
              <wp:cNvGraphicFramePr/>
              <a:graphic xmlns:a="http://schemas.openxmlformats.org/drawingml/2006/main">
                <a:graphicData uri="http://schemas.microsoft.com/office/word/2010/wordprocessingShape">
                  <wps:wsp>
                    <wps:cNvSpPr txBox="1"/>
                    <wps:spPr>
                      <a:xfrm>
                        <a:off x="0" y="0"/>
                        <a:ext cx="1988820" cy="159385"/>
                      </a:xfrm>
                      <a:prstGeom prst="rect">
                        <a:avLst/>
                      </a:prstGeom>
                    </wps:spPr>
                    <wps:txbx>
                      <w:txbxContent>
                        <w:p w14:paraId="4C43B7FB">
                          <w:pPr>
                            <w:spacing w:before="0" w:line="250" w:lineRule="exact"/>
                            <w:ind w:left="20" w:right="0" w:firstLine="0"/>
                            <w:jc w:val="left"/>
                            <w:rPr>
                              <w:sz w:val="21"/>
                            </w:rPr>
                          </w:pPr>
                          <w:r>
                            <w:rPr>
                              <w:spacing w:val="-1"/>
                              <w:w w:val="105"/>
                              <w:sz w:val="21"/>
                            </w:rPr>
                            <w:t>北京义翘神州科技股份有限公司</w:t>
                          </w:r>
                        </w:p>
                      </w:txbxContent>
                    </wps:txbx>
                    <wps:bodyPr wrap="square" lIns="0" tIns="0" rIns="0" bIns="0" rtlCol="0">
                      <a:noAutofit/>
                    </wps:bodyPr>
                  </wps:wsp>
                </a:graphicData>
              </a:graphic>
            </wp:anchor>
          </w:drawing>
        </mc:Choice>
        <mc:Fallback>
          <w:pict>
            <v:shape id="Textbox 5" o:spid="_x0000_s1026" o:spt="202" type="#_x0000_t202" style="position:absolute;left:0pt;margin-left:351.2pt;margin-top:62pt;height:12.55pt;width:156.6pt;mso-position-horizontal-relative:page;mso-position-vertical-relative:page;z-index:-251656192;mso-width-relative:page;mso-height-relative:page;" filled="f" stroked="f" coordsize="21600,21600" o:gfxdata="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96lkbdoAAAAMAQAADwAAAAAAAAABACAAAAAiAAAAZHJzL2Rvd25yZXYueG1sUEsBAhQAFAAAAAgA&#10;h07iQMNhJOexAQAAdAMAAA4AAAAAAAAAAQAgAAAAKQEAAGRycy9lMm9Eb2MueG1sUEsFBgAAAAAG&#10;AAYAWQEAAEwFAAAAAA==&#10;">
              <v:fill on="f" focussize="0,0"/>
              <v:stroke on="f"/>
              <v:imagedata o:title=""/>
              <o:lock v:ext="edit" aspectratio="f"/>
              <v:textbox inset="0mm,0mm,0mm,0mm">
                <w:txbxContent>
                  <w:p w14:paraId="4C43B7FB">
                    <w:pPr>
                      <w:spacing w:before="0" w:line="250" w:lineRule="exact"/>
                      <w:ind w:left="20" w:right="0" w:firstLine="0"/>
                      <w:jc w:val="left"/>
                      <w:rPr>
                        <w:sz w:val="21"/>
                      </w:rPr>
                    </w:pPr>
                    <w:r>
                      <w:rPr>
                        <w:spacing w:val="-1"/>
                        <w:w w:val="105"/>
                        <w:sz w:val="21"/>
                      </w:rPr>
                      <w:t>北京义翘神州科技股份有限公司</w:t>
                    </w:r>
                  </w:p>
                </w:txbxContent>
              </v:textbox>
            </v:shape>
          </w:pict>
        </mc:Fallback>
      </mc:AlternateContent>
    </w:r>
    <w:r>
      <w:drawing>
        <wp:anchor distT="0" distB="0" distL="114300" distR="114300" simplePos="0" relativeHeight="251659264" behindDoc="0" locked="0" layoutInCell="1" allowOverlap="1">
          <wp:simplePos x="0" y="0"/>
          <wp:positionH relativeFrom="column">
            <wp:posOffset>41275</wp:posOffset>
          </wp:positionH>
          <wp:positionV relativeFrom="paragraph">
            <wp:posOffset>-19685</wp:posOffset>
          </wp:positionV>
          <wp:extent cx="2233930" cy="382905"/>
          <wp:effectExtent l="0" t="0" r="13970" b="17145"/>
          <wp:wrapNone/>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cstate="print"/>
                  <a:stretch>
                    <a:fillRect/>
                  </a:stretch>
                </pic:blipFill>
                <pic:spPr>
                  <a:xfrm>
                    <a:off x="0" y="0"/>
                    <a:ext cx="2233877" cy="383057"/>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4E79CC"/>
    <w:multiLevelType w:val="singleLevel"/>
    <w:tmpl w:val="E34E79CC"/>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1YTA5Y2Y5Y2I0NzU2ZDExMmM5ZWY5YTU1YWU0MjAifQ=="/>
  </w:docVars>
  <w:rsids>
    <w:rsidRoot w:val="6B011BE9"/>
    <w:rsid w:val="0C484EEE"/>
    <w:rsid w:val="58B42E47"/>
    <w:rsid w:val="5DD1675E"/>
    <w:rsid w:val="6B011B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1952</Words>
  <Characters>2416</Characters>
  <Lines>0</Lines>
  <Paragraphs>0</Paragraphs>
  <TotalTime>0</TotalTime>
  <ScaleCrop>false</ScaleCrop>
  <LinksUpToDate>false</LinksUpToDate>
  <CharactersWithSpaces>2457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2024-08-08T02:26:00Z</dcterms:created>
  <dc:creator>忘了天空的颜色</dc:creator>
  <cp:lastModifiedBy>忘了天空的颜色</cp:lastModifiedBy>
  <dcterms:modified xsi:type="dcterms:W3CDTF">2025-05-08T09:40:57Z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44C0C9E979074641B0528A1D95F71281_13</vt:lpwstr>
  </property>
  <property fmtid="{D5CDD505-2E9C-101B-9397-08002B2CF9AE}" pid="4" name="KSOTemplateDocerSaveRecord">
    <vt:lpwstr>eyJoZGlkIjoiZTE1YTA5Y2Y5Y2I0NzU2ZDExMmM5ZWY5YTU1YWU0MjAiLCJ1c2VySWQiOiIzMDIxNDQ2NTUifQ==</vt:lpwstr>
  </property>
</Properties>
</file>