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高血压患者的优选药物—比索洛尔氨氯地平片（指南推荐篇）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我国流行病学研究揭示，高血压人群中不乏大量患者必须采取两种及以上抗高血压药物联合治疗策略以达到有效控压的目的。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β受体阻滞剂与钙离子拮抗剂在高血压治疗中展现出机制上的协同效应以及不良反</w:t>
      </w:r>
      <w:bookmarkStart w:id="0" w:name="OLE_LINK5"/>
      <w:r>
        <w:rPr>
          <w:rFonts w:hint="eastAsia" w:ascii="宋体" w:hAnsi="宋体" w:eastAsia="宋体" w:cs="宋体"/>
          <w:sz w:val="24"/>
          <w:szCs w:val="24"/>
          <w:lang w:val="en-US" w:eastAsia="zh-CN"/>
        </w:rPr>
        <w:t>应间的潜在相消性特点。</w:t>
      </w:r>
      <w:bookmarkEnd w:id="0"/>
      <w:r>
        <w:rPr>
          <w:rFonts w:hint="eastAsia" w:ascii="宋体" w:hAnsi="宋体" w:eastAsia="宋体" w:cs="宋体"/>
          <w:sz w:val="24"/>
          <w:szCs w:val="24"/>
          <w:lang w:val="en-US" w:eastAsia="zh-CN"/>
        </w:rPr>
        <w:t>具体而言，比索洛尔通过减少心率和心脏射血量来降低血压，而氨氯地平则通过舒张动脉血管达到降压的效果。两者联合使用，能够产生显著的协同作用。此外，比索洛尔抵消了氨氯地平可能带来的心率加快的副作用，而氨氯地平则通过舒张动脉血管减轻了比索洛尔对心肌的抑制作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比索洛尔与氨氯地平均为临床实践广泛应用的抗高血压药物代表。两者的联合应用具有坚实的理论依据与广泛的临床实践经验支撑。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eastAsia="宋体" w:cs="宋体"/>
          <w:b/>
          <w:bCs/>
          <w:color w:val="C00000"/>
          <w:sz w:val="21"/>
          <w:szCs w:val="21"/>
          <w:lang w:val="en-US" w:eastAsia="zh-CN"/>
        </w:rPr>
      </w:pPr>
      <w:r>
        <w:rPr>
          <w:rFonts w:hint="eastAsia" w:ascii="宋体" w:hAnsi="宋体" w:eastAsia="宋体" w:cs="宋体"/>
          <w:b/>
          <w:bCs/>
          <w:color w:val="C00000"/>
          <w:sz w:val="21"/>
          <w:szCs w:val="21"/>
          <w:lang w:val="en-US" w:eastAsia="zh-CN"/>
        </w:rPr>
        <w:t>指南推荐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jc w:val="both"/>
        <w:textAlignment w:val="auto"/>
        <w:rPr>
          <w:rFonts w:ascii="宋体" w:hAnsi="宋体" w:eastAsia="宋体" w:cs="宋体"/>
          <w:color w:val="A93539"/>
          <w:sz w:val="24"/>
          <w:szCs w:val="24"/>
        </w:rPr>
      </w:pPr>
      <w:r>
        <w:rPr>
          <w:rFonts w:ascii="宋体" w:hAnsi="宋体" w:eastAsia="宋体" w:cs="宋体"/>
          <w:sz w:val="24"/>
          <w:szCs w:val="24"/>
        </w:rPr>
        <w:t>根据《美国心脏协会高血压管理指南》</w:t>
      </w:r>
      <w:r>
        <w:rPr>
          <w:rFonts w:ascii="宋体" w:hAnsi="宋体" w:eastAsia="宋体" w:cs="宋体"/>
          <w:sz w:val="20"/>
          <w:szCs w:val="20"/>
          <w:vertAlign w:val="superscript"/>
        </w:rPr>
        <w:t>[1]</w:t>
      </w:r>
      <w:r>
        <w:rPr>
          <w:rFonts w:ascii="宋体" w:hAnsi="宋体" w:eastAsia="宋体" w:cs="宋体"/>
          <w:sz w:val="24"/>
          <w:szCs w:val="24"/>
        </w:rPr>
        <w:t>、《欧洲心脏病学会高血压管理指南》</w:t>
      </w:r>
      <w:r>
        <w:rPr>
          <w:rFonts w:ascii="宋体" w:hAnsi="宋体" w:eastAsia="宋体" w:cs="宋体"/>
          <w:sz w:val="20"/>
          <w:szCs w:val="20"/>
          <w:vertAlign w:val="superscript"/>
        </w:rPr>
        <w:t>[2]</w:t>
      </w:r>
      <w:r>
        <w:rPr>
          <w:rFonts w:ascii="宋体" w:hAnsi="宋体" w:eastAsia="宋体" w:cs="宋体"/>
          <w:sz w:val="24"/>
          <w:szCs w:val="24"/>
        </w:rPr>
        <w:t>、《中国高血压患者心率管理多学科专家共识》</w:t>
      </w:r>
      <w:r>
        <w:rPr>
          <w:rFonts w:ascii="宋体" w:hAnsi="宋体" w:eastAsia="宋体" w:cs="宋体"/>
          <w:sz w:val="20"/>
          <w:szCs w:val="20"/>
          <w:vertAlign w:val="superscript"/>
        </w:rPr>
        <w:t>[3]</w:t>
      </w:r>
      <w:r>
        <w:rPr>
          <w:rFonts w:ascii="宋体" w:hAnsi="宋体" w:eastAsia="宋体" w:cs="宋体"/>
          <w:sz w:val="24"/>
          <w:szCs w:val="24"/>
        </w:rPr>
        <w:t>的相关内容，</w:t>
      </w:r>
      <w:r>
        <w:rPr>
          <w:rFonts w:ascii="宋体" w:hAnsi="宋体" w:eastAsia="宋体" w:cs="宋体"/>
          <w:color w:val="A93539"/>
          <w:sz w:val="24"/>
          <w:szCs w:val="24"/>
        </w:rPr>
        <w:t>B+C组合，即β受体阻滞剂与钙离子通道阻滞剂的联合应用，已成为权威医学指南所推崇的理想联合治疗方案。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jc w:val="both"/>
        <w:textAlignment w:val="auto"/>
        <w:rPr>
          <w:rFonts w:ascii="宋体" w:hAnsi="宋体" w:eastAsia="宋体" w:cs="宋体"/>
          <w:color w:val="A93539"/>
          <w:sz w:val="24"/>
          <w:szCs w:val="24"/>
        </w:rPr>
      </w:pPr>
      <w:r>
        <w:rPr>
          <w:rFonts w:ascii="宋体" w:hAnsi="宋体" w:eastAsia="宋体" w:cs="宋体"/>
          <w:sz w:val="24"/>
          <w:szCs w:val="24"/>
        </w:rPr>
        <w:t>根据《欧洲心脏病学会高血压指南》</w:t>
      </w:r>
      <w:r>
        <w:rPr>
          <w:rFonts w:ascii="宋体" w:hAnsi="宋体" w:eastAsia="宋体" w:cs="宋体"/>
          <w:sz w:val="20"/>
          <w:szCs w:val="20"/>
          <w:vertAlign w:val="superscript"/>
        </w:rPr>
        <w:t>[4]</w:t>
      </w:r>
      <w:r>
        <w:rPr>
          <w:rFonts w:ascii="宋体" w:hAnsi="宋体" w:eastAsia="宋体" w:cs="宋体"/>
          <w:sz w:val="24"/>
          <w:szCs w:val="24"/>
        </w:rPr>
        <w:t>、《中国高血压防治指南》</w:t>
      </w:r>
      <w:r>
        <w:rPr>
          <w:rFonts w:ascii="宋体" w:hAnsi="宋体" w:eastAsia="宋体" w:cs="宋体"/>
          <w:sz w:val="20"/>
          <w:szCs w:val="20"/>
          <w:vertAlign w:val="superscript"/>
        </w:rPr>
        <w:t>[5]</w:t>
      </w:r>
      <w:r>
        <w:rPr>
          <w:rFonts w:ascii="宋体" w:hAnsi="宋体" w:eastAsia="宋体" w:cs="宋体"/>
          <w:sz w:val="24"/>
          <w:szCs w:val="24"/>
        </w:rPr>
        <w:t>、《单片复方制剂降压治疗中国专家共识》</w:t>
      </w:r>
      <w:r>
        <w:rPr>
          <w:rFonts w:ascii="宋体" w:hAnsi="宋体" w:eastAsia="宋体" w:cs="宋体"/>
          <w:sz w:val="20"/>
          <w:szCs w:val="20"/>
          <w:vertAlign w:val="superscript"/>
        </w:rPr>
        <w:t>[6]</w:t>
      </w:r>
      <w:r>
        <w:rPr>
          <w:rFonts w:ascii="宋体" w:hAnsi="宋体" w:eastAsia="宋体" w:cs="宋体"/>
          <w:sz w:val="24"/>
          <w:szCs w:val="24"/>
        </w:rPr>
        <w:t>与《世界卫生组织成人高血压药物治疗指南》</w:t>
      </w:r>
      <w:r>
        <w:rPr>
          <w:rFonts w:ascii="宋体" w:hAnsi="宋体" w:eastAsia="宋体" w:cs="宋体"/>
          <w:sz w:val="20"/>
          <w:szCs w:val="20"/>
          <w:vertAlign w:val="superscript"/>
        </w:rPr>
        <w:t>[7]</w:t>
      </w:r>
      <w:r>
        <w:rPr>
          <w:rFonts w:ascii="宋体" w:hAnsi="宋体" w:eastAsia="宋体" w:cs="宋体"/>
          <w:sz w:val="24"/>
          <w:szCs w:val="24"/>
        </w:rPr>
        <w:t>的建议，</w:t>
      </w:r>
      <w:r>
        <w:rPr>
          <w:rFonts w:ascii="宋体" w:hAnsi="宋体" w:eastAsia="宋体" w:cs="宋体"/>
          <w:color w:val="A93539"/>
          <w:sz w:val="24"/>
          <w:szCs w:val="24"/>
        </w:rPr>
        <w:t>在高血压患者的联合治疗中，单片复方制剂更是优选的治疗药物。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bookmarkStart w:id="1" w:name="OLE_LINK1"/>
      <w:r>
        <w:rPr>
          <w:rFonts w:ascii="宋体" w:hAnsi="宋体" w:eastAsia="宋体" w:cs="宋体"/>
          <w:sz w:val="24"/>
          <w:szCs w:val="24"/>
        </w:rPr>
        <w:t>在单片复方制剂的联合治疗中，B+C组合是可考虑选择的治疗药物。其中，</w:t>
      </w:r>
      <w:r>
        <w:rPr>
          <w:rFonts w:ascii="宋体" w:hAnsi="宋体" w:eastAsia="宋体" w:cs="宋体"/>
          <w:color w:val="A93539"/>
          <w:sz w:val="24"/>
          <w:szCs w:val="24"/>
        </w:rPr>
        <w:t>比索洛尔氨氯地平片作为该联合用药方案的具体代表药物</w:t>
      </w:r>
      <w:r>
        <w:rPr>
          <w:rFonts w:ascii="宋体" w:hAnsi="宋体" w:eastAsia="宋体" w:cs="宋体"/>
          <w:sz w:val="24"/>
          <w:szCs w:val="24"/>
        </w:rPr>
        <w:t>，亦获得了《单片固定剂量复方制剂在心血管疾病防控中应用的中国专家共识》</w:t>
      </w:r>
      <w:r>
        <w:rPr>
          <w:rFonts w:ascii="宋体" w:hAnsi="宋体" w:eastAsia="宋体" w:cs="宋体"/>
          <w:sz w:val="20"/>
          <w:szCs w:val="20"/>
          <w:vertAlign w:val="superscript"/>
        </w:rPr>
        <w:t>[8]</w:t>
      </w:r>
      <w:r>
        <w:rPr>
          <w:rFonts w:ascii="宋体" w:hAnsi="宋体" w:eastAsia="宋体" w:cs="宋体"/>
          <w:sz w:val="24"/>
          <w:szCs w:val="24"/>
        </w:rPr>
        <w:t>与《β受体阻滞剂/钙通道阻滞剂单片复方制剂在高血压患者中的应用中国专家共识》</w:t>
      </w:r>
      <w:r>
        <w:rPr>
          <w:rFonts w:ascii="宋体" w:hAnsi="宋体" w:eastAsia="宋体" w:cs="宋体"/>
          <w:sz w:val="20"/>
          <w:szCs w:val="20"/>
          <w:vertAlign w:val="superscript"/>
        </w:rPr>
        <w:t>[9]</w:t>
      </w:r>
      <w:r>
        <w:rPr>
          <w:rFonts w:ascii="宋体" w:hAnsi="宋体" w:eastAsia="宋体" w:cs="宋体"/>
          <w:sz w:val="24"/>
          <w:szCs w:val="24"/>
        </w:rPr>
        <w:t>的推荐。</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t>《β受体阻滞剂/钙通道阻滞剂单片复方制剂在高血压患者中的应用中国专家共识》</w:t>
      </w:r>
      <w:r>
        <w:rPr>
          <w:rFonts w:ascii="宋体" w:hAnsi="宋体" w:eastAsia="宋体" w:cs="宋体"/>
          <w:sz w:val="20"/>
          <w:szCs w:val="20"/>
          <w:vertAlign w:val="superscript"/>
        </w:rPr>
        <w:t>[10]</w:t>
      </w:r>
      <w:r>
        <w:rPr>
          <w:rFonts w:ascii="宋体" w:hAnsi="宋体" w:eastAsia="宋体" w:cs="宋体"/>
          <w:sz w:val="24"/>
          <w:szCs w:val="24"/>
        </w:rPr>
        <w:t>明确指出：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inline distT="0" distB="0" distL="114300" distR="114300">
            <wp:extent cx="3818255" cy="4034790"/>
            <wp:effectExtent l="0" t="0" r="0" b="0"/>
            <wp:docPr id="1" name="图片 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2"/>
                    <pic:cNvPicPr>
                      <a:picLocks noChangeAspect="1"/>
                    </pic:cNvPicPr>
                  </pic:nvPicPr>
                  <pic:blipFill>
                    <a:blip r:embed="rId4"/>
                    <a:srcRect l="11933" t="4748" r="43756" b="49145"/>
                    <a:stretch>
                      <a:fillRect/>
                    </a:stretch>
                  </pic:blipFill>
                  <pic:spPr>
                    <a:xfrm>
                      <a:off x="0" y="0"/>
                      <a:ext cx="3818255" cy="403479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参考文献：</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[1] 2017 ACC/AHA/AAPA /ABC/ACPM/AGS/APhA /ASH/ASPC /NMA/PCNA Guideline for the Prevention, Detection, Evaluation, and Management of High Blood Pressure in Adults</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[2] 2018 ESC/ESH Guidelines for themanagement of arterial hypertension</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[3] 高血压心率管理多学科共识组.中国高血压患者心率管理多学科专家共识(2021年版)[J].中国全科医学, 2021, 24(20):8.DOI:10.12114/j.issn.1007-9572.2021.00.557.</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[4] 2018 ESC/ESH Guidelines for themanagement of arterial hypertension</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[5] 孙恕易松.2023年《中国高血压防治指南》更新临床实践[J].心电与循环, 2023, 42(3):203-206.</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[6] 王继光.单片复方制剂降压治疗中国专家共识[J].中华高血压杂志, 2012, 20(7):624-628.</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[7] 张建玲,李刚.2021世界卫生组织《成人高血压药物治疗指南》解读[J].中华高血压杂志, 2023, 31(1):18-20.</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[8] 单片固定剂量复方制剂在心血管疾病防控中应用的中国专家共识工作组. 中国循环杂志. 2023; 38(9): 901-910.</w:t>
      </w:r>
    </w:p>
    <w:p>
      <w:pPr>
        <w:pStyle w:val="3"/>
        <w:keepNext w:val="0"/>
        <w:keepLines w:val="0"/>
        <w:widowControl/>
        <w:suppressLineNumbers w:val="0"/>
        <w:rPr>
          <w:rFonts w:hint="eastAsia" w:ascii="宋体" w:hAnsi="宋体" w:eastAsia="宋体" w:cs="宋体"/>
          <w:sz w:val="18"/>
          <w:szCs w:val="18"/>
        </w:rPr>
      </w:pPr>
      <w:r>
        <w:rPr>
          <w:rFonts w:hint="eastAsia" w:ascii="宋体" w:hAnsi="宋体" w:eastAsia="宋体" w:cs="宋体"/>
          <w:sz w:val="18"/>
          <w:szCs w:val="18"/>
        </w:rPr>
        <w:t>[9] 中华心血管病杂志(网络版)编辑委员会. 中华心血管病杂志(网络版). 2022; 5(1): 1-7.</w:t>
      </w:r>
    </w:p>
    <w:p>
      <w:pPr>
        <w:pStyle w:val="3"/>
        <w:keepNext w:val="0"/>
        <w:keepLines w:val="0"/>
        <w:widowControl/>
        <w:suppressLineNumbers w:val="0"/>
        <w:rPr>
          <w:rFonts w:hint="default" w:ascii="宋体" w:hAnsi="宋体" w:eastAsia="宋体" w:cs="宋体"/>
          <w:sz w:val="24"/>
          <w:szCs w:val="24"/>
          <w:lang w:val="en-US" w:eastAsia="zh-CN"/>
        </w:rPr>
      </w:pPr>
      <w:r>
        <w:rPr>
          <w:rFonts w:hint="eastAsia" w:ascii="宋体" w:hAnsi="宋体" w:eastAsia="宋体" w:cs="宋体"/>
          <w:sz w:val="18"/>
          <w:szCs w:val="18"/>
        </w:rPr>
        <w:t>[10] 中华心血管病杂志(网络版)编辑委员会. 中华心血管病杂志(网络版). 2022; 5(1): 1-7.</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3A4F6B"/>
    <w:rsid w:val="363A4F6B"/>
    <w:rsid w:val="540D5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endnote text"/>
    <w:basedOn w:val="1"/>
    <w:qFormat/>
    <w:uiPriority w:val="0"/>
    <w:pPr>
      <w:snapToGrid w:val="0"/>
      <w:jc w:val="left"/>
    </w:p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endnote reference"/>
    <w:basedOn w:val="5"/>
    <w:qFormat/>
    <w:uiPriority w:val="0"/>
    <w:rPr>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2024-09-26T08:41:00Z</dcterms:created>
  <dc:creator>媛小媛</dc:creator>
  <cp:lastModifiedBy>媛小媛</cp:lastModifiedBy>
  <dcterms:modified xsi:type="dcterms:W3CDTF">2024-09-26T08:56:54Z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