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5A8B28">
      <w:pPr>
        <w:pStyle w:val="167"/>
        <w:rPr>
          <w:lang w:eastAsia="zh-CN"/>
        </w:rPr>
      </w:pPr>
      <w:bookmarkStart w:id="0" w:name="_Toc415818939"/>
      <w:bookmarkStart w:id="1" w:name="_Toc517262917"/>
      <w:bookmarkStart w:id="2" w:name="_Toc418070112"/>
      <w:bookmarkStart w:id="3" w:name="_Toc415143481"/>
      <w:bookmarkStart w:id="4" w:name="_Toc415142861"/>
      <w:bookmarkStart w:id="5" w:name="OLE_LINK40"/>
      <w:bookmarkStart w:id="6" w:name="OLE_LINK39"/>
      <w:bookmarkStart w:id="7" w:name="OLE_LINK13"/>
      <w:bookmarkStart w:id="8" w:name="_Toc438987549"/>
      <w:bookmarkStart w:id="9" w:name="_Toc453597319"/>
      <w:bookmarkStart w:id="10" w:name="OLE_LINK24"/>
      <w:bookmarkStart w:id="11" w:name="OLE_LINK15"/>
      <w:bookmarkStart w:id="12" w:name="_Toc481801204"/>
      <w:r>
        <w:rPr>
          <w:lang w:eastAsia="zh-CN"/>
        </w:rPr>
        <w:t>片状聚合物铝电容器</w:t>
      </w:r>
      <w:r>
        <w:rPr>
          <w:rFonts w:hint="eastAsia"/>
          <w:lang w:eastAsia="zh-CN"/>
        </w:rPr>
        <w:t>全球市场总体规模</w:t>
      </w:r>
    </w:p>
    <w:p w14:paraId="7A6570BD">
      <w:pPr>
        <w:pStyle w:val="145"/>
        <w:rPr>
          <w:lang w:val="en-US" w:eastAsia="zh-CN"/>
        </w:rPr>
      </w:pPr>
      <w:r>
        <w:rPr>
          <w:rFonts w:hint="eastAsia"/>
          <w:lang w:val="en-US" w:eastAsia="zh-CN"/>
        </w:rPr>
        <w:t>片状聚合物铝电容器，也称为聚合物电解电容器或聚合物铝电容器，是一种使用固体导电聚合物作为电解质而不是液体电解质的电解电容器。这些电容器比传统的铝电解电容器具有多种优势，适合电子产品的广泛应用。</w:t>
      </w:r>
    </w:p>
    <w:p w14:paraId="43E4AD38">
      <w:pPr>
        <w:pStyle w:val="145"/>
        <w:rPr>
          <w:lang w:eastAsia="zh-CN"/>
        </w:rPr>
      </w:pPr>
      <w:r>
        <w:rPr>
          <w:rFonts w:hint="eastAsia"/>
          <w:lang w:eastAsia="zh-CN"/>
        </w:rPr>
        <w:t>根据QYResearch最新调研报告显示，预计2</w:t>
      </w:r>
      <w:r>
        <w:rPr>
          <w:lang w:eastAsia="zh-CN"/>
        </w:rPr>
        <w:t>030</w:t>
      </w:r>
      <w:r>
        <w:rPr>
          <w:rFonts w:hint="eastAsia"/>
          <w:lang w:eastAsia="zh-CN"/>
        </w:rPr>
        <w:t>年全球</w:t>
      </w:r>
      <w:r>
        <w:rPr>
          <w:lang w:eastAsia="zh-CN"/>
        </w:rPr>
        <w:t>片状聚合物铝电容器</w:t>
      </w:r>
      <w:r>
        <w:rPr>
          <w:rFonts w:hint="eastAsia"/>
          <w:lang w:eastAsia="zh-CN"/>
        </w:rPr>
        <w:t>市场规模将达到</w:t>
      </w:r>
      <w:r>
        <w:rPr>
          <w:lang w:eastAsia="zh-CN"/>
        </w:rPr>
        <w:t>5.7</w:t>
      </w:r>
      <w:r>
        <w:rPr>
          <w:rFonts w:hint="eastAsia"/>
          <w:lang w:eastAsia="zh-CN"/>
        </w:rPr>
        <w:t>亿美元，未来几年年复合增长率CAGR为</w:t>
      </w:r>
      <w:r>
        <w:rPr>
          <w:lang w:eastAsia="zh-CN"/>
        </w:rPr>
        <w:t>3.7</w:t>
      </w:r>
      <w:r>
        <w:rPr>
          <w:rFonts w:hint="eastAsia"/>
          <w:lang w:eastAsia="zh-CN"/>
        </w:rPr>
        <w:t>%。</w:t>
      </w:r>
    </w:p>
    <w:p w14:paraId="4D38E3C6">
      <w:pPr>
        <w:pStyle w:val="145"/>
        <w:rPr>
          <w:rFonts w:hint="eastAsia" w:eastAsia="宋体"/>
          <w:lang w:eastAsia="zh-CN"/>
        </w:rPr>
      </w:pPr>
      <w:r>
        <w:rPr>
          <w:lang w:val="en-US" w:eastAsia="zh-CN"/>
        </w:rPr>
        <w:drawing>
          <wp:inline distT="0" distB="0" distL="0" distR="0">
            <wp:extent cx="2618740" cy="1741170"/>
            <wp:effectExtent l="0" t="0" r="0" b="0"/>
            <wp:docPr id="3" name="图片 3" descr="C:\Users\hengzhoubz\AppData\Local\Microsoft\Windows\INetCache\Content.MSO\B69966F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hengzhoubz\AppData\Local\Microsoft\Windows\INetCache\Content.MSO\B69966FD.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618740" cy="1741170"/>
                    </a:xfrm>
                    <a:prstGeom prst="rect">
                      <a:avLst/>
                    </a:prstGeom>
                    <a:noFill/>
                    <a:ln>
                      <a:noFill/>
                    </a:ln>
                  </pic:spPr>
                </pic:pic>
              </a:graphicData>
            </a:graphic>
          </wp:inline>
        </w:drawing>
      </w:r>
    </w:p>
    <w:p w14:paraId="3F6C2722">
      <w:pPr>
        <w:pStyle w:val="148"/>
        <w:rPr>
          <w:lang w:eastAsia="zh-CN"/>
        </w:rPr>
      </w:pPr>
      <w:r>
        <w:rPr>
          <w:lang w:eastAsia="zh-CN"/>
        </w:rPr>
        <w:t>片状聚合物铝电容器</w:t>
      </w:r>
      <w:r>
        <w:rPr>
          <w:rFonts w:hint="eastAsia"/>
          <w:lang w:eastAsia="zh-CN"/>
        </w:rPr>
        <w:t>，全球市场总体规模</w:t>
      </w:r>
    </w:p>
    <w:p w14:paraId="33261207">
      <w:pPr>
        <w:pStyle w:val="145"/>
      </w:pPr>
      <w:r>
        <w:rPr>
          <w:lang w:val="en-US" w:eastAsia="zh-CN"/>
        </w:rPr>
        <w:drawing>
          <wp:inline distT="0" distB="0" distL="0" distR="0">
            <wp:extent cx="6188710" cy="2954655"/>
            <wp:effectExtent l="0" t="0" r="254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48964BA">
      <w:pPr>
        <w:pStyle w:val="143"/>
        <w:rPr>
          <w:lang w:eastAsia="zh-CN"/>
        </w:rPr>
      </w:pPr>
      <w:r>
        <w:rPr>
          <w:rFonts w:hint="eastAsia"/>
          <w:lang w:eastAsia="zh-CN"/>
        </w:rPr>
        <w:t>如上图表/数据，摘自QYResearch最新报告“全球</w:t>
      </w:r>
      <w:r>
        <w:rPr>
          <w:lang w:eastAsia="zh-CN"/>
        </w:rPr>
        <w:t>片状聚合物铝电容器</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片状聚合物铝电容器</w:t>
      </w:r>
      <w:r>
        <w:rPr>
          <w:rFonts w:hint="eastAsia"/>
          <w:lang w:eastAsia="zh-CN"/>
        </w:rPr>
        <w:t>市场前</w:t>
      </w:r>
      <w:r>
        <w:rPr>
          <w:lang w:eastAsia="zh-CN"/>
        </w:rPr>
        <w:t>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3D0272A">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A43543">
      <w:pPr>
        <w:pStyle w:val="143"/>
        <w:rPr>
          <w:lang w:eastAsia="zh-CN"/>
        </w:rPr>
      </w:pPr>
      <w:r>
        <w:rPr>
          <w:rFonts w:hint="eastAsia"/>
          <w:lang w:eastAsia="zh-CN"/>
        </w:rPr>
        <w:t>如上图表/数据，摘自QYResearch报告“全球</w:t>
      </w:r>
      <w:r>
        <w:rPr>
          <w:lang w:eastAsia="zh-CN"/>
        </w:rPr>
        <w:t>片状聚合物铝电容器</w:t>
      </w:r>
      <w:r>
        <w:rPr>
          <w:rFonts w:hint="eastAsia"/>
          <w:lang w:eastAsia="zh-CN"/>
        </w:rPr>
        <w:t>市场研究报告202</w:t>
      </w:r>
      <w:r>
        <w:rPr>
          <w:lang w:eastAsia="zh-CN"/>
        </w:rPr>
        <w:t>4</w:t>
      </w:r>
      <w:r>
        <w:rPr>
          <w:rFonts w:hint="eastAsia"/>
          <w:lang w:eastAsia="zh-CN"/>
        </w:rPr>
        <w:t>-20</w:t>
      </w:r>
      <w:r>
        <w:rPr>
          <w:lang w:eastAsia="zh-CN"/>
        </w:rPr>
        <w:t>30</w:t>
      </w:r>
      <w:r>
        <w:rPr>
          <w:rFonts w:hint="eastAsia"/>
          <w:lang w:eastAsia="zh-CN"/>
        </w:rPr>
        <w:t>，排名基于2</w:t>
      </w:r>
      <w:r>
        <w:rPr>
          <w:lang w:eastAsia="zh-CN"/>
        </w:rPr>
        <w:t>023</w:t>
      </w:r>
      <w:r>
        <w:rPr>
          <w:rFonts w:hint="eastAsia"/>
          <w:lang w:eastAsia="zh-CN"/>
        </w:rPr>
        <w:t>数据。目前最新数据，以本公司最新调研数据为准。</w:t>
      </w:r>
    </w:p>
    <w:p w14:paraId="7FF828E9">
      <w:pPr>
        <w:pStyle w:val="145"/>
        <w:rPr>
          <w:lang w:eastAsia="zh-CN"/>
        </w:rPr>
      </w:pPr>
      <w:r>
        <w:rPr>
          <w:rFonts w:hint="eastAsia"/>
          <w:lang w:eastAsia="zh-CN"/>
        </w:rPr>
        <w:t>全球范围内，</w:t>
      </w:r>
      <w:r>
        <w:rPr>
          <w:lang w:eastAsia="zh-CN"/>
        </w:rPr>
        <w:t>片状聚合物铝电容器</w:t>
      </w:r>
      <w:r>
        <w:rPr>
          <w:rFonts w:hint="eastAsia"/>
          <w:lang w:eastAsia="zh-CN"/>
        </w:rPr>
        <w:t>主要生产商包括</w:t>
      </w:r>
      <w:r>
        <w:t>TDK</w:t>
      </w:r>
      <w:r>
        <w:rPr>
          <w:rFonts w:hint="eastAsia"/>
          <w:lang w:eastAsia="zh-CN"/>
        </w:rPr>
        <w:t>、</w:t>
      </w:r>
      <w:r>
        <w:t>Murata</w:t>
      </w:r>
      <w:r>
        <w:rPr>
          <w:rFonts w:hint="eastAsia"/>
          <w:lang w:eastAsia="zh-CN"/>
        </w:rPr>
        <w:t>、</w:t>
      </w:r>
      <w:r>
        <w:t>Taiyo Yuden</w:t>
      </w:r>
      <w:r>
        <w:rPr>
          <w:rFonts w:hint="eastAsia"/>
          <w:lang w:eastAsia="zh-CN"/>
        </w:rPr>
        <w:t>、</w:t>
      </w:r>
      <w:r>
        <w:t>Sumida</w:t>
      </w:r>
      <w:r>
        <w:rPr>
          <w:rFonts w:hint="eastAsia"/>
          <w:lang w:eastAsia="zh-CN"/>
        </w:rPr>
        <w:t>、</w:t>
      </w:r>
      <w:r>
        <w:t>Chilisin</w:t>
      </w:r>
      <w:r>
        <w:rPr>
          <w:rFonts w:hint="eastAsia"/>
          <w:lang w:eastAsia="zh-CN"/>
        </w:rPr>
        <w:t>等，其中前</w:t>
      </w:r>
      <w:r>
        <w:rPr>
          <w:lang w:eastAsia="zh-CN"/>
        </w:rPr>
        <w:t>5</w:t>
      </w:r>
      <w:r>
        <w:rPr>
          <w:rFonts w:hint="eastAsia"/>
          <w:lang w:eastAsia="zh-CN"/>
        </w:rPr>
        <w:t>大厂商占有大约</w:t>
      </w:r>
      <w:r>
        <w:rPr>
          <w:lang w:eastAsia="zh-CN"/>
        </w:rPr>
        <w:t>70%</w:t>
      </w:r>
      <w:r>
        <w:rPr>
          <w:rFonts w:hint="eastAsia"/>
          <w:lang w:eastAsia="zh-CN"/>
        </w:rPr>
        <w:t>的市场份额。</w:t>
      </w:r>
    </w:p>
    <w:p w14:paraId="52A4B21D">
      <w:pPr>
        <w:pStyle w:val="145"/>
        <w:rPr>
          <w:lang w:eastAsia="zh-CN"/>
        </w:rPr>
      </w:pPr>
    </w:p>
    <w:p w14:paraId="3A34A761">
      <w:pPr>
        <w:pStyle w:val="145"/>
        <w:rPr>
          <w:lang w:eastAsia="zh-CN"/>
        </w:rPr>
      </w:pPr>
      <w:r>
        <w:rPr>
          <w:rFonts w:hint="eastAsia"/>
          <w:lang w:eastAsia="zh-CN"/>
        </w:rPr>
        <w:t>主要驱动因素</w:t>
      </w:r>
      <w:r>
        <w:rPr>
          <w:lang w:eastAsia="zh-CN"/>
        </w:rPr>
        <w:t>:</w:t>
      </w:r>
    </w:p>
    <w:p w14:paraId="0F6D2268">
      <w:pPr>
        <w:pStyle w:val="145"/>
        <w:rPr>
          <w:rFonts w:hint="eastAsia"/>
          <w:lang w:eastAsia="zh-CN"/>
        </w:rPr>
      </w:pPr>
      <w:r>
        <w:rPr>
          <w:rFonts w:hint="eastAsia"/>
          <w:lang w:eastAsia="zh-CN"/>
        </w:rPr>
        <w:t>小型化和高电容：芯片聚合物铝电解电容器在紧凑的尺寸中提供了高电容值，适用于需要节省空间和高电容的应用，如便携式电子设备和电源。</w:t>
      </w:r>
    </w:p>
    <w:p w14:paraId="3222A1FD">
      <w:pPr>
        <w:pStyle w:val="145"/>
        <w:rPr>
          <w:rFonts w:hint="eastAsia"/>
          <w:lang w:eastAsia="zh-CN"/>
        </w:rPr>
      </w:pPr>
      <w:r>
        <w:rPr>
          <w:rFonts w:hint="eastAsia"/>
          <w:lang w:eastAsia="zh-CN"/>
        </w:rPr>
        <w:t>低ESR和高纹波电流：这些电容器具有低等效串联电阻（ESR）和高纹波电流额定值，为各种电子电路提供高效的滤波和能量存储能力，包括电压调节器和DC-DC转换器。</w:t>
      </w:r>
    </w:p>
    <w:p w14:paraId="2F76B107">
      <w:pPr>
        <w:pStyle w:val="145"/>
        <w:rPr>
          <w:lang w:eastAsia="zh-CN"/>
        </w:rPr>
      </w:pPr>
      <w:r>
        <w:rPr>
          <w:rFonts w:hint="eastAsia"/>
          <w:lang w:eastAsia="zh-CN"/>
        </w:rPr>
        <w:t>长寿命和高可靠性：与传统的铝电解电容器相比，使用导电聚合物电解质可提高芯片聚合物铝电解电容器的寿命和可靠性，使其适用于对长寿命和稳定性要求高的应用。</w:t>
      </w:r>
    </w:p>
    <w:p w14:paraId="77721B1A">
      <w:pPr>
        <w:pStyle w:val="145"/>
        <w:rPr>
          <w:lang w:eastAsia="zh-CN"/>
        </w:rPr>
      </w:pPr>
      <w:r>
        <w:rPr>
          <w:rFonts w:hint="eastAsia"/>
          <w:lang w:eastAsia="zh-CN"/>
        </w:rPr>
        <w:t>主要阻碍因素</w:t>
      </w:r>
      <w:r>
        <w:rPr>
          <w:lang w:eastAsia="zh-CN"/>
        </w:rPr>
        <w:t>:</w:t>
      </w:r>
    </w:p>
    <w:p w14:paraId="72DCC6B6">
      <w:pPr>
        <w:pStyle w:val="145"/>
        <w:rPr>
          <w:rFonts w:hint="eastAsia"/>
          <w:lang w:eastAsia="zh-CN"/>
        </w:rPr>
      </w:pPr>
      <w:r>
        <w:rPr>
          <w:rFonts w:hint="eastAsia"/>
          <w:lang w:eastAsia="zh-CN"/>
        </w:rPr>
        <w:t>成本：芯片聚合物铝电解电容器的成本通常较传统的铝电解电容器更高，这是由于涉及的专用材料和制造工艺，这可能在对成本敏感的应用中受到限制。</w:t>
      </w:r>
    </w:p>
    <w:p w14:paraId="6F86B22C">
      <w:pPr>
        <w:pStyle w:val="145"/>
        <w:rPr>
          <w:lang w:eastAsia="zh-CN"/>
        </w:rPr>
      </w:pPr>
      <w:r>
        <w:rPr>
          <w:rFonts w:hint="eastAsia"/>
          <w:lang w:eastAsia="zh-CN"/>
        </w:rPr>
        <w:t>电压限制：这些电容器与一些其他类型的电容器相比可能存在电压限制，这可能限制了它们在需要更高电容值的高压应用中的使用。</w:t>
      </w:r>
    </w:p>
    <w:p w14:paraId="1D6E3A66">
      <w:pPr>
        <w:pStyle w:val="145"/>
        <w:rPr>
          <w:lang w:eastAsia="zh-CN"/>
        </w:rPr>
      </w:pPr>
      <w:r>
        <w:rPr>
          <w:rFonts w:hint="eastAsia"/>
          <w:lang w:eastAsia="zh-CN"/>
        </w:rPr>
        <w:t>行业发展机遇</w:t>
      </w:r>
      <w:r>
        <w:rPr>
          <w:lang w:eastAsia="zh-CN"/>
        </w:rPr>
        <w:t>:</w:t>
      </w:r>
    </w:p>
    <w:p w14:paraId="09CA7723">
      <w:pPr>
        <w:pStyle w:val="145"/>
        <w:rPr>
          <w:rFonts w:hint="eastAsia"/>
          <w:lang w:eastAsia="zh-CN"/>
        </w:rPr>
      </w:pPr>
      <w:r>
        <w:rPr>
          <w:rFonts w:hint="eastAsia"/>
          <w:lang w:eastAsia="zh-CN"/>
        </w:rPr>
        <w:t>消费电子产品需求不断增长：不断扩大的消费电子产品市场，包括智能手机、平板电脑和可穿戴设备，为片式聚合物铝电容器提供了巨大的机遇，因为它们体积小、电容高、可靠性高。</w:t>
      </w:r>
    </w:p>
    <w:p w14:paraId="464ECBA3">
      <w:pPr>
        <w:pStyle w:val="145"/>
        <w:rPr>
          <w:lang w:eastAsia="zh-CN"/>
        </w:rPr>
      </w:pPr>
      <w:r>
        <w:rPr>
          <w:rFonts w:hint="eastAsia"/>
          <w:lang w:eastAsia="zh-CN"/>
        </w:rPr>
        <w:t>材料和制造方面的进步：聚合物材料和制造技术的不断进步可能会降低片式聚合物铝电容器的成本并提高其性能，使其更具竞争力，并扩大其在物联网和电动汽车等新兴技术中的应用范围。</w:t>
      </w:r>
    </w:p>
    <w:p w14:paraId="7559775F">
      <w:pPr>
        <w:widowControl/>
        <w:topLinePunct w:val="0"/>
        <w:spacing w:after="0"/>
        <w:jc w:val="left"/>
        <w:rPr>
          <w:lang w:eastAsia="zh-CN"/>
        </w:rPr>
      </w:pPr>
      <w:r>
        <w:br w:type="page"/>
      </w:r>
      <w:bookmarkEnd w:id="0"/>
      <w:bookmarkEnd w:id="1"/>
      <w:bookmarkEnd w:id="2"/>
      <w:bookmarkEnd w:id="3"/>
      <w:bookmarkEnd w:id="4"/>
      <w:bookmarkEnd w:id="5"/>
      <w:bookmarkEnd w:id="6"/>
      <w:bookmarkEnd w:id="7"/>
      <w:bookmarkEnd w:id="8"/>
      <w:bookmarkEnd w:id="9"/>
      <w:bookmarkEnd w:id="10"/>
      <w:bookmarkEnd w:id="11"/>
      <w:bookmarkEnd w:id="12"/>
      <w:bookmarkStart w:id="19" w:name="_GoBack"/>
      <w:bookmarkEnd w:id="19"/>
      <w:r>
        <w:rPr>
          <w:lang w:eastAsia="zh-CN"/>
        </w:rPr>
        <w:t>QYResearch</w:t>
      </w:r>
      <w:r>
        <w:rPr>
          <w:rFonts w:hint="eastAsia"/>
          <w:lang w:eastAsia="zh-CN"/>
        </w:rPr>
        <w:t>企业简介</w:t>
      </w:r>
    </w:p>
    <w:p w14:paraId="044563DD">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514D280">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74641357">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41AD">
    <w:pPr>
      <w:pStyle w:val="21"/>
      <w:jc w:val="center"/>
    </w:pPr>
    <w:bookmarkStart w:id="13" w:name="_Hlk149300687"/>
    <w:bookmarkStart w:id="14" w:name="_Hlk149300691"/>
    <w:bookmarkStart w:id="15" w:name="_Hlk149300689"/>
    <w:bookmarkStart w:id="16" w:name="_Hlk149300688"/>
    <w:bookmarkStart w:id="17" w:name="_Hlk149300690"/>
    <w:bookmarkStart w:id="18" w:name="_Hlk149300692"/>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F360">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77C6B204">
    <w:pPr>
      <w:pStyle w:val="22"/>
      <w:pBdr>
        <w:bottom w:val="none" w:color="auto" w:sz="0" w:space="0"/>
      </w:pBdr>
      <w:jc w:val="both"/>
    </w:pPr>
  </w:p>
  <w:p w14:paraId="1CA8454E">
    <w:pPr>
      <w:pStyle w:val="22"/>
      <w:pBdr>
        <w:bottom w:val="none" w:color="auto" w:sz="0" w:space="0"/>
      </w:pBdr>
      <w:jc w:val="both"/>
    </w:pPr>
  </w:p>
  <w:p w14:paraId="7E7792EE">
    <w:pPr>
      <w:pStyle w:val="22"/>
      <w:pBdr>
        <w:bottom w:val="none" w:color="auto" w:sz="0" w:space="0"/>
      </w:pBdr>
      <w:jc w:val="both"/>
    </w:pPr>
  </w:p>
  <w:p w14:paraId="3D55DE52">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85F"/>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1D3"/>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01"/>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A6C"/>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25"/>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9AC"/>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086"/>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861"/>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2FF9"/>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59"/>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337"/>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C2"/>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A8B"/>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6B5C"/>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8FF"/>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B7B"/>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D04"/>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6EF"/>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2AC"/>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25"/>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DC7"/>
    <w:rsid w:val="00913F8A"/>
    <w:rsid w:val="00914062"/>
    <w:rsid w:val="00914480"/>
    <w:rsid w:val="00914DF7"/>
    <w:rsid w:val="0091525A"/>
    <w:rsid w:val="009152B9"/>
    <w:rsid w:val="009156C4"/>
    <w:rsid w:val="00915752"/>
    <w:rsid w:val="00915BB6"/>
    <w:rsid w:val="00916160"/>
    <w:rsid w:val="0091624F"/>
    <w:rsid w:val="00916372"/>
    <w:rsid w:val="00916404"/>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05B"/>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AB5"/>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6E71"/>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9C7"/>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45E"/>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2C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4B4"/>
    <w:rsid w:val="00B11612"/>
    <w:rsid w:val="00B11816"/>
    <w:rsid w:val="00B11D10"/>
    <w:rsid w:val="00B12395"/>
    <w:rsid w:val="00B12985"/>
    <w:rsid w:val="00B12A89"/>
    <w:rsid w:val="00B130D5"/>
    <w:rsid w:val="00B132C3"/>
    <w:rsid w:val="00B1333E"/>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5B6"/>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1E"/>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B1"/>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3D3"/>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367"/>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7F0"/>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0E92"/>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4E"/>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B3D"/>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19"/>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C8D"/>
    <w:rsid w:val="00EB3F39"/>
    <w:rsid w:val="00EB3F9F"/>
    <w:rsid w:val="00EB42A3"/>
    <w:rsid w:val="00EB4460"/>
    <w:rsid w:val="00EB4578"/>
    <w:rsid w:val="00EB4720"/>
    <w:rsid w:val="00EB489E"/>
    <w:rsid w:val="00EB58D1"/>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4AF"/>
    <w:rsid w:val="00EC1C9B"/>
    <w:rsid w:val="00EC204D"/>
    <w:rsid w:val="00EC206C"/>
    <w:rsid w:val="00EC2656"/>
    <w:rsid w:val="00EC2BAC"/>
    <w:rsid w:val="00EC2CA8"/>
    <w:rsid w:val="00EC3048"/>
    <w:rsid w:val="00EC313F"/>
    <w:rsid w:val="00EC37EF"/>
    <w:rsid w:val="00EC384E"/>
    <w:rsid w:val="00EC42EE"/>
    <w:rsid w:val="00EC4B92"/>
    <w:rsid w:val="00EC5140"/>
    <w:rsid w:val="00EC5202"/>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2C33"/>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B7F"/>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A2D"/>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7DC"/>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363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hengzhoubz\Desktop\&#35266;&#28857;\&#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engzhoubz\Desktop\&#35266;&#28857;\&#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 2024 VS 2030</a:t>
            </a:r>
            <a:endParaRPr lang="en-US"/>
          </a:p>
        </c:rich>
      </c:tx>
      <c:layout/>
      <c:overlay val="0"/>
      <c:spPr>
        <a:noFill/>
        <a:ln>
          <a:noFill/>
        </a:ln>
        <a:effectLst/>
      </c:spPr>
    </c:title>
    <c:autoTitleDeleted val="0"/>
    <c:plotArea>
      <c:layout>
        <c:manualLayout>
          <c:layoutTarget val="inner"/>
          <c:xMode val="edge"/>
          <c:yMode val="edge"/>
          <c:x val="0.0254783950617284"/>
          <c:y val="0.139741503267974"/>
          <c:w val="0.956882716049383"/>
          <c:h val="0.7639781045751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全球总体!$T$6:$U$6</c:f>
              <c:numCache>
                <c:formatCode>General</c:formatCode>
                <c:ptCount val="2"/>
                <c:pt idx="0">
                  <c:v>2024</c:v>
                </c:pt>
                <c:pt idx="1">
                  <c:v>2030</c:v>
                </c:pt>
              </c:numCache>
            </c:numRef>
          </c:cat>
          <c:val>
            <c:numRef>
              <c:f>全球总体!$T$7:$U$7</c:f>
              <c:numCache>
                <c:formatCode>#,##0_ </c:formatCode>
                <c:ptCount val="2"/>
                <c:pt idx="0">
                  <c:v>139</c:v>
                </c:pt>
                <c:pt idx="1">
                  <c:v>236</c:v>
                </c:pt>
              </c:numCache>
            </c:numRef>
          </c:val>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Pt>
            <c:idx val="9"/>
            <c:invertIfNegative val="0"/>
            <c:bubble3D val="0"/>
            <c:spPr>
              <a:solidFill>
                <a:srgbClr val="002060"/>
              </a:solidFill>
              <a:ln>
                <a:noFill/>
              </a:ln>
              <a:effectLst/>
            </c:spPr>
          </c:dPt>
          <c:dPt>
            <c:idx val="10"/>
            <c:invertIfNegative val="0"/>
            <c:bubble3D val="0"/>
            <c:spPr>
              <a:solidFill>
                <a:srgbClr val="002060"/>
              </a:solidFill>
              <a:ln>
                <a:noFill/>
              </a:ln>
              <a:effectLst/>
            </c:spPr>
          </c:dPt>
          <c:dPt>
            <c:idx val="11"/>
            <c:invertIfNegative val="0"/>
            <c:bubble3D val="0"/>
            <c:spPr>
              <a:solidFill>
                <a:srgbClr val="002060"/>
              </a:solidFill>
              <a:ln>
                <a:noFill/>
              </a:ln>
              <a:effectLst/>
            </c:spPr>
          </c:dPt>
          <c:dLbls>
            <c:delete val="1"/>
          </c:dLbls>
          <c:cat>
            <c:strRef>
              <c:f>企业收入!$H$2:$H$13</c:f>
              <c:strCache>
                <c:ptCount val="12"/>
                <c:pt idx="0">
                  <c:v>TDK</c:v>
                </c:pt>
                <c:pt idx="1">
                  <c:v>Murata</c:v>
                </c:pt>
                <c:pt idx="2">
                  <c:v>Taiyo Yuden</c:v>
                </c:pt>
                <c:pt idx="3">
                  <c:v>Sumida</c:v>
                </c:pt>
                <c:pt idx="4">
                  <c:v>Chilisin</c:v>
                </c:pt>
                <c:pt idx="5">
                  <c:v>Sunlord</c:v>
                </c:pt>
                <c:pt idx="6">
                  <c:v>Misumi</c:v>
                </c:pt>
                <c:pt idx="7">
                  <c:v>AVX</c:v>
                </c:pt>
                <c:pt idx="8">
                  <c:v>Sagami Elec</c:v>
                </c:pt>
                <c:pt idx="9">
                  <c:v>Microgate</c:v>
                </c:pt>
                <c:pt idx="10">
                  <c:v>Zhenhua Fu Electronics</c:v>
                </c:pt>
                <c:pt idx="11">
                  <c:v>Fenghua Advanced</c:v>
                </c:pt>
              </c:strCache>
            </c:strRef>
          </c:cat>
          <c:val>
            <c:numRef>
              <c:f>企业收入!$I$2:$I$13</c:f>
              <c:numCache>
                <c:formatCode>0.0%</c:formatCode>
                <c:ptCount val="12"/>
                <c:pt idx="0">
                  <c:v>0.491034063260341</c:v>
                </c:pt>
                <c:pt idx="1">
                  <c:v>0.472007299270073</c:v>
                </c:pt>
                <c:pt idx="2">
                  <c:v>0.292956204379562</c:v>
                </c:pt>
                <c:pt idx="3">
                  <c:v>0.237153284671533</c:v>
                </c:pt>
                <c:pt idx="4">
                  <c:v>0.190839416058394</c:v>
                </c:pt>
                <c:pt idx="5">
                  <c:v>0.0812043795620438</c:v>
                </c:pt>
                <c:pt idx="6">
                  <c:v>0.0737104622871046</c:v>
                </c:pt>
                <c:pt idx="7">
                  <c:v>0.0694038929440389</c:v>
                </c:pt>
                <c:pt idx="8">
                  <c:v>0.0594768856447689</c:v>
                </c:pt>
                <c:pt idx="9">
                  <c:v>0.0544282238442822</c:v>
                </c:pt>
                <c:pt idx="10">
                  <c:v>0.0364963503649635</c:v>
                </c:pt>
                <c:pt idx="11">
                  <c:v>0.0182481751824818</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0.43019</cdr:x>
      <cdr:y>0.28749</cdr:y>
    </cdr:from>
    <cdr:to>
      <cdr:x>0.56192</cdr:x>
      <cdr:y>0.4</cdr:y>
    </cdr:to>
    <cdr:sp>
      <cdr:nvSpPr>
        <cdr:cNvPr id="2" name="椭圆 1"/>
        <cdr:cNvSpPr/>
      </cdr:nvSpPr>
      <cdr:spPr xmlns:a="http://schemas.openxmlformats.org/drawingml/2006/main">
        <a:xfrm xmlns:a="http://schemas.openxmlformats.org/drawingml/2006/main" rot="20393341">
          <a:off x="2662297" y="849420"/>
          <a:ext cx="815238" cy="332428"/>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1000" b="0" baseline="0">
              <a:solidFill>
                <a:schemeClr val="tx1"/>
              </a:solidFill>
              <a:latin typeface="Times New Roman" panose="02020603050405020304" charset="0"/>
              <a:ea typeface="宋体" panose="02010600030101010101" charset="-122"/>
              <a:cs typeface="Times New Roman" panose="02020603050405020304" charset="0"/>
            </a:rPr>
            <a:t>3.7%</a:t>
          </a:r>
          <a:endParaRPr lang="zh-CN" sz="1000" b="0" baseline="0">
            <a:solidFill>
              <a:schemeClr val="tx1"/>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D4DEB8-11CD-449B-82E8-5A78D042941D}">
  <ds:schemaRefs/>
</ds:datastoreItem>
</file>

<file path=docProps/app.xml><?xml version="1.0" encoding="utf-8"?>
<Properties xmlns="http://schemas.openxmlformats.org/officeDocument/2006/extended-properties" xmlns:vt="http://schemas.openxmlformats.org/officeDocument/2006/docPropsVTypes">
  <Template>Normal</Template>
  <Pages>4</Pages>
  <Words>1415</Words>
  <Characters>1595</Characters>
  <Lines>11</Lines>
  <Paragraphs>3</Paragraphs>
  <TotalTime>3</TotalTime>
  <ScaleCrop>false</ScaleCrop>
  <LinksUpToDate>false</LinksUpToDate>
  <CharactersWithSpaces>1599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2024-05-31T09:44:00Z</dcterms:created>
  <dc:creator>yangj</dc:creator>
  <cp:lastModifiedBy>Administrator</cp:lastModifiedBy>
  <dcterms:modified xsi:type="dcterms:W3CDTF">2024-06-05T07:24:18Z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132EBA5B228A4186B5D01AE3D2A81AFF_13</vt:lpwstr>
  </property>
</Properties>
</file>