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096000" cy="41814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96000" cy="4181475"/>
                    </a:xfrm>
                    <a:prstGeom prst="rect">
                      <a:avLst/>
                    </a:prstGeom>
                    <a:noFill/>
                    <a:ln w="9525">
                      <a:noFill/>
                    </a:ln>
                  </pic:spPr>
                </pic:pic>
              </a:graphicData>
            </a:graphic>
          </wp:inline>
        </w:drawing>
      </w:r>
    </w:p>
    <w:p>
      <w:pPr>
        <w:pStyle w:val="3"/>
        <w:keepNext w:val="0"/>
        <w:keepLines w:val="0"/>
        <w:widowControl/>
        <w:suppressLineNumbers w:val="0"/>
      </w:pPr>
      <w:r>
        <w:t>4月9日晚间，新劲刚（300629.SZ）发布业绩快报，2022年公司实现营收4.3亿元，同比增加19.46%，归属于上市公司股东的净利润1.32亿元，同比增加35.57%；扣除非净利润1.24亿元，同比增加42.44%。与此同时，该公司披露，拟以现金方式收购成都仁健微波技术有限公司（下称仁健微波）60%的股权。本次交易完成后，仁健微波将成为公司的控股子公司。</w:t>
      </w:r>
    </w:p>
    <w:p>
      <w:pPr>
        <w:pStyle w:val="3"/>
        <w:keepNext w:val="0"/>
        <w:keepLines w:val="0"/>
        <w:widowControl/>
        <w:suppressLineNumbers w:val="0"/>
      </w:pPr>
      <w:r>
        <w:t>据悉，新劲刚自2017年上市以来，曾折戟于传统民品业务（超硬材料制品），随后公司剥离该业务，聚焦军工赛道，如今拟收购仁健微波60%股权，旨在打造新的产品线。</w:t>
      </w:r>
    </w:p>
    <w:p>
      <w:pPr>
        <w:pStyle w:val="2"/>
        <w:keepNext w:val="0"/>
        <w:keepLines w:val="0"/>
        <w:widowControl/>
        <w:suppressLineNumbers w:val="0"/>
      </w:pPr>
      <w:r>
        <w:rPr>
          <w:rStyle w:val="6"/>
          <w:b/>
        </w:rPr>
        <w:t>“上市功臣”被剥离</w:t>
      </w:r>
    </w:p>
    <w:p>
      <w:pPr>
        <w:pStyle w:val="3"/>
        <w:keepNext w:val="0"/>
        <w:keepLines w:val="0"/>
        <w:widowControl/>
        <w:suppressLineNumbers w:val="0"/>
      </w:pPr>
      <w:r>
        <w:t>钛媒体APP发现，新劲刚于2017年成功上市，此前一直聚焦于传统超硬材料制品业务，其中传统超硬材料制品9成业务收入来源于建筑陶瓷领域。由于国内房地产行业和建筑陶瓷行业均出现了较大不利变化，导致超硬材料制品的市场需求下降，新劲刚的营业收入开始下降，甚至一度出现亏损。具体来看，2017年-2019年，公司营收分别为2.50亿元、2.05亿元、1.98亿元；归母净利润分别为2464万元、763.8万元、-2577万元。</w:t>
      </w:r>
    </w:p>
    <w:p>
      <w:pPr>
        <w:pStyle w:val="3"/>
        <w:keepNext w:val="0"/>
        <w:keepLines w:val="0"/>
        <w:widowControl/>
        <w:suppressLineNumbers w:val="0"/>
      </w:pPr>
      <w:r>
        <w:t>在此背景下，新劲刚于2019年9月以6.5亿元成功收购宽普科技，同年10月完成对宽普科技进行并表，开始涉足特殊应用领域电子业务。随后新劲刚的营收和净利润得到显著提升，2020年-2021年，公司实现营收分别为3.18亿元、3.60亿元，同比增加60.64%、13.17%；归母净利润为分别为5023.80万元、9703.15万元，同比增加294.91%、93.14%，新劲刚成功扭转局面，2020年实现扭亏为盈。从产品毛利率上来看，射频微波类产品的毛利率始终保持在57%以上，在其营收占比逐渐升高之后，公司的整体毛利率也得到了显著提升。</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096000" cy="21907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096000" cy="2190750"/>
                    </a:xfrm>
                    <a:prstGeom prst="rect">
                      <a:avLst/>
                    </a:prstGeom>
                    <a:noFill/>
                    <a:ln w="9525">
                      <a:noFill/>
                    </a:ln>
                  </pic:spPr>
                </pic:pic>
              </a:graphicData>
            </a:graphic>
          </wp:inline>
        </w:drawing>
      </w:r>
    </w:p>
    <w:p>
      <w:pPr>
        <w:pStyle w:val="3"/>
        <w:keepNext w:val="0"/>
        <w:keepLines w:val="0"/>
        <w:widowControl/>
        <w:suppressLineNumbers w:val="0"/>
      </w:pPr>
      <w:r>
        <w:t>与此同时，新劲刚的营收构成也开始发生变化，超硬材料制品的营收由2017年的2.27亿元下降至2020年的1.2亿元，营收占比由90.70%下降至37.54%；而射频微波类产品自并表之后开始贡献营收，由2019年的4262万元上升至2020年的1.86亿元，营收占比在2020年已超过50%。值得一提的是，新劲刚在2021年底完全剥离超硬材料制品业务（包括出售子公司广东新劲刚金刚石工具有限公司的100%股权），全面聚焦军工业务的发展。这也意味着，靠着超硬材料制品业务而上市的新劲刚，现在已经全面转型。另外，根据2022年半年报显示，新劲刚实现营收2亿元，其中射频微波产品实现营收1.93亿元，占比超过9成；特殊领域材料业务568.8万元，仅占比2.84%。</w:t>
      </w:r>
    </w:p>
    <w:p>
      <w:pPr>
        <w:pStyle w:val="3"/>
        <w:keepNext w:val="0"/>
        <w:keepLines w:val="0"/>
        <w:widowControl/>
        <w:suppressLineNumbers w:val="0"/>
      </w:pPr>
      <w:r>
        <w:t>此外，钛媒体APP发现，新劲刚于2022年1月因相关财务信息披露不准确收到证监局下发的警示函。警示函指出，公司存在部分收入跨期确认，导致公司2018年至2020年的财务信息不准确，以及在2020年出售子公司金刚石工具100%股权后未正确披露相关财务信息，因此违反了相关规定。</w:t>
      </w:r>
    </w:p>
    <w:p>
      <w:pPr>
        <w:pStyle w:val="2"/>
        <w:keepNext w:val="0"/>
        <w:keepLines w:val="0"/>
        <w:widowControl/>
        <w:suppressLineNumbers w:val="0"/>
      </w:pPr>
      <w:r>
        <w:rPr>
          <w:rStyle w:val="6"/>
          <w:b/>
        </w:rPr>
        <w:t>再度提速新赛道</w:t>
      </w:r>
    </w:p>
    <w:p>
      <w:pPr>
        <w:pStyle w:val="3"/>
        <w:keepNext w:val="0"/>
        <w:keepLines w:val="0"/>
        <w:widowControl/>
        <w:suppressLineNumbers w:val="0"/>
      </w:pPr>
      <w:r>
        <w:t>新劲刚目前聚焦于特殊应用领域电子业务和特殊应用领域材料业务布局和发展，从事射频微波类产品和新材料的研究、开发、生产和销售。特殊应用领域电子业务主要以公司广东宽普科技有限公司（下称宽普科技）的射频微波业务为主，产品包括射频微波器件、模块、组件和设备等；特殊应用领域材料业务主要以子公司康泰威为载体，主要产品包括热喷涂材料、电磁波吸波材料等。</w:t>
      </w:r>
    </w:p>
    <w:p>
      <w:pPr>
        <w:pStyle w:val="3"/>
        <w:keepNext w:val="0"/>
        <w:keepLines w:val="0"/>
        <w:widowControl/>
        <w:suppressLineNumbers w:val="0"/>
      </w:pPr>
      <w:r>
        <w:t>据悉，标的公司仁健微波成立于2010年，目前专注于微波频率源、信号源及其相关组件的设计、生产和销售，其产品广泛应用于雷达、监测、测向、通信、导航、电子对抗等领域。标的公司能有效地与新劲刚子公司宽普科技在射频微波领域的技术和产品上实现资源整合和优势互补，积极推动公司在特殊应用电子领域的长远健康发展，进一步增强公司综合竞争力，打造新的利润增长点。本次交易尚处于筹划阶段，双方同意聘请资产评估机构对仁健微波进行评估，交易作价将由交易各方在资产评估的基础上协商确定，最终将以各方签署的正式协议为准。对于收购之后，公司是基于现有射频微波领域的技术和产品的升级还是打造新的产品。对于这一问题，新劲刚向钛媒体APP表示，收购后将会打造一个新的产品线。</w:t>
      </w:r>
    </w:p>
    <w:p>
      <w:pPr>
        <w:pStyle w:val="3"/>
        <w:keepNext w:val="0"/>
        <w:keepLines w:val="0"/>
        <w:widowControl/>
        <w:suppressLineNumbers w:val="0"/>
      </w:pPr>
      <w:r>
        <w:t>值得一提的是，射频微波技术主要应用于军事和民用领域。射频微波通信是一种新型技术，在雷达、通信、电子对抗等方面得到广泛应用，且随着通信向高频段发展，在民用领域也得到广泛应用。由于国防现代化建设进程的推进，特殊应用电子产业得到了高速发展，据商务部投资促进事务局发布的报告，预计到2025年，国防信息化开支可能会达到2513亿元，占国防装备支出的40％，其中核心领域有望保持20％以上的复合增长。因此，射频微波技术作为信息化装备的重要部分必将充分受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5YTI5YTlhMzViMDU5ZTA1YzEzYjk1ZmZmMDhjYjQifQ=="/>
  </w:docVars>
  <w:rsids>
    <w:rsidRoot w:val="00000000"/>
    <w:rsid w:val="30997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1709</Words>
  <Characters>1927</Characters>
  <Lines>0</Lines>
  <Paragraphs>0</Paragraphs>
  <TotalTime>0</TotalTime>
  <ScaleCrop>false</ScaleCrop>
  <LinksUpToDate>false</LinksUpToDate>
  <CharactersWithSpaces>1927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2023-04-12T06:17:30Z</dcterms:created>
  <dc:creator>zhongqian'g</dc:creator>
  <cp:lastModifiedBy>zhongqian'g</cp:lastModifiedBy>
  <dcterms:modified xsi:type="dcterms:W3CDTF">2023-04-12T06:17:35Z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94D91897138B4D3797C8B7FCB754CEDE_12</vt:lpwstr>
  </property>
</Properties>
</file>