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5D5715">
      <w:pPr>
        <w:pStyle w:val="167"/>
        <w:rPr>
          <w:lang w:eastAsia="zh-CN"/>
        </w:rPr>
      </w:pPr>
      <w:bookmarkStart w:id="0" w:name="_Toc517262917"/>
      <w:bookmarkStart w:id="1" w:name="_Toc438987549"/>
      <w:bookmarkStart w:id="2" w:name="_Toc415818939"/>
      <w:bookmarkStart w:id="3" w:name="_Toc453597319"/>
      <w:bookmarkStart w:id="4" w:name="_Toc481801204"/>
      <w:bookmarkStart w:id="5" w:name="_Toc415143481"/>
      <w:bookmarkStart w:id="6" w:name="OLE_LINK13"/>
      <w:bookmarkStart w:id="7" w:name="_Toc418070112"/>
      <w:bookmarkStart w:id="8" w:name="OLE_LINK15"/>
      <w:bookmarkStart w:id="9" w:name="OLE_LINK24"/>
      <w:bookmarkStart w:id="10" w:name="OLE_LINK40"/>
      <w:bookmarkStart w:id="11" w:name="_Toc415142861"/>
      <w:bookmarkStart w:id="12" w:name="OLE_LINK39"/>
      <w:r>
        <w:drawing>
          <wp:inline distT="0" distB="0" distL="114300" distR="114300">
            <wp:extent cx="6182995" cy="4079240"/>
            <wp:effectExtent l="0" t="0" r="8255" b="165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1"/>
                    <a:stretch>
                      <a:fillRect/>
                    </a:stretch>
                  </pic:blipFill>
                  <pic:spPr>
                    <a:xfrm>
                      <a:off x="0" y="0"/>
                      <a:ext cx="6182995" cy="4079240"/>
                    </a:xfrm>
                    <a:prstGeom prst="rect">
                      <a:avLst/>
                    </a:prstGeom>
                    <a:noFill/>
                    <a:ln>
                      <a:noFill/>
                    </a:ln>
                  </pic:spPr>
                </pic:pic>
              </a:graphicData>
            </a:graphic>
          </wp:inline>
        </w:drawing>
      </w:r>
      <w:r>
        <w:rPr>
          <w:rFonts w:hint="eastAsia"/>
          <w:lang w:eastAsia="zh-CN"/>
        </w:rPr>
        <w:t>一、</w:t>
      </w:r>
      <w:r>
        <w:rPr>
          <w:lang w:eastAsia="zh-CN"/>
        </w:rPr>
        <w:t>宠物减肥粮</w:t>
      </w:r>
      <w:r>
        <w:rPr>
          <w:rFonts w:hint="eastAsia"/>
          <w:lang w:eastAsia="zh-CN"/>
        </w:rPr>
        <w:t>全球市场总体规模</w:t>
      </w:r>
    </w:p>
    <w:p w14:paraId="7AFA200B">
      <w:pPr>
        <w:rPr>
          <w:rFonts w:hint="eastAsia"/>
          <w:color w:val="0D0D0D" w:themeColor="text1" w:themeTint="F2"/>
          <w:kern w:val="0"/>
          <w:szCs w:val="22"/>
          <w14:textFill>
            <w14:solidFill>
              <w14:schemeClr w14:val="tx1">
                <w14:lumMod w14:val="95000"/>
                <w14:lumOff w14:val="5000"/>
              </w14:schemeClr>
            </w14:solidFill>
          </w14:textFill>
        </w:rPr>
      </w:pPr>
      <w:r>
        <w:rPr>
          <w:rFonts w:hint="eastAsia"/>
          <w:color w:val="0D0D0D" w:themeColor="text1" w:themeTint="F2"/>
          <w:kern w:val="0"/>
          <w:szCs w:val="22"/>
          <w14:textFill>
            <w14:solidFill>
              <w14:schemeClr w14:val="tx1">
                <w14:lumMod w14:val="95000"/>
                <w14:lumOff w14:val="5000"/>
              </w14:schemeClr>
            </w14:solidFill>
          </w14:textFill>
        </w:rPr>
        <w:t>宠物减肥粮是一类经特殊配方设计的功能性宠物主粮，旨在通过营养手段帮助超重宠物恢复并维持理想体态。这类食品的核心逻辑通常基于“高蛋白、低脂肪、高纤维”的营养结构，旨在降低能量摄入密度的同时，确保宠物获得必需的维生素与矿物质。其工作机制分为两个层面：一是物理层面，通过增加膳食纤维含量来产生饱腹感，从而减少宠物的乞食行为；二是代谢层面，通过添加左旋肉碱（L-Carnitine）等成分促进脂肪酸氧化，帮助机体更有效地燃烧脂肪。这类食品既包括可在普通零售渠道购买的“低卡粮”（Light/Lite），也包括必须经兽医诊断后使用的“处方级减重粮”。</w:t>
      </w:r>
    </w:p>
    <w:p w14:paraId="0F56F11C">
      <w:pPr>
        <w:pStyle w:val="145"/>
        <w:ind w:left="210" w:hanging="210" w:hangingChars="100"/>
        <w:rPr>
          <w:lang w:val="en-US" w:eastAsia="zh-CN"/>
        </w:rPr>
      </w:pPr>
      <w:r>
        <w:rPr>
          <w:rFonts w:hint="eastAsia"/>
          <w:lang w:val="en-US" w:eastAsia="zh-CN"/>
        </w:rPr>
        <w:t>根据QYResearch最新调研报告显示，市场规模方面，预计2031年全球宠物减肥粮市场规模将达到1.08亿美元，未来几年年复合增长率CAGR为</w:t>
      </w:r>
      <w:r>
        <w:rPr>
          <w:rFonts w:ascii="Times New Roman" w:hAnsi="Times New Roman" w:cs="Times New Roman"/>
          <w:lang w:val="en-US" w:eastAsia="zh-CN"/>
        </w:rPr>
        <w:t>7.7</w:t>
      </w:r>
      <w:r>
        <w:rPr>
          <w:rFonts w:ascii="Times New Roman" w:hAnsi="Times New Roman" w:cs="Times New Roman"/>
          <w:lang w:eastAsia="zh-CN"/>
        </w:rPr>
        <w:t>%</w:t>
      </w:r>
      <w:r>
        <w:rPr>
          <w:rFonts w:hint="eastAsia"/>
          <w:lang w:val="en-US" w:eastAsia="zh-CN"/>
        </w:rPr>
        <w:t>。</w:t>
      </w:r>
    </w:p>
    <w:p w14:paraId="3F6C2722">
      <w:pPr>
        <w:pStyle w:val="148"/>
        <w:rPr>
          <w:lang w:eastAsia="zh-CN"/>
        </w:rPr>
      </w:pPr>
      <w:r>
        <w:rPr>
          <w:lang w:eastAsia="zh-CN"/>
        </w:rPr>
        <w:t>宠物减肥粮</w:t>
      </w:r>
      <w:r>
        <w:rPr>
          <w:rFonts w:hint="eastAsia"/>
          <w:lang w:eastAsia="zh-CN"/>
        </w:rPr>
        <w:t>，全球市场收入增长率</w:t>
      </w:r>
    </w:p>
    <w:p w14:paraId="33261207">
      <w:pPr>
        <w:pStyle w:val="145"/>
        <w:rPr>
          <w:lang w:val="en-US" w:eastAsia="zh-CN"/>
        </w:rPr>
      </w:pPr>
      <w:r>
        <w:rPr>
          <w:rFonts w:ascii="Times New Roman" w:hAnsi="Times New Roman" w:cs="Times New Roman"/>
          <w:lang w:val="en-US"/>
        </w:rPr>
        <w:drawing>
          <wp:inline distT="0" distB="0" distL="0" distR="0">
            <wp:extent cx="6188710" cy="2955925"/>
            <wp:effectExtent l="0" t="0" r="2540" b="0"/>
            <wp:docPr id="104072494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724941" name="图片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6188710" cy="2956351"/>
                    </a:xfrm>
                    <a:prstGeom prst="rect">
                      <a:avLst/>
                    </a:prstGeom>
                    <a:noFill/>
                  </pic:spPr>
                </pic:pic>
              </a:graphicData>
            </a:graphic>
          </wp:inline>
        </w:drawing>
      </w:r>
    </w:p>
    <w:p w14:paraId="1AF1FD2D">
      <w:pPr>
        <w:pStyle w:val="143"/>
        <w:rPr>
          <w:lang w:eastAsia="zh-CN"/>
        </w:rPr>
      </w:pPr>
      <w:r>
        <w:rPr>
          <w:rFonts w:hint="eastAsia"/>
          <w:lang w:eastAsia="zh-CN"/>
        </w:rPr>
        <w:t>如上图表/数据，摘自QYResearch最新报告“全球</w:t>
      </w:r>
      <w:r>
        <w:rPr>
          <w:lang w:eastAsia="zh-CN"/>
        </w:rPr>
        <w:t>宠物减肥粮</w:t>
      </w:r>
      <w:r>
        <w:rPr>
          <w:rFonts w:hint="eastAsia"/>
          <w:lang w:eastAsia="zh-CN"/>
        </w:rPr>
        <w:t>市场研究报告2025-2031</w:t>
      </w:r>
      <w:r>
        <w:rPr>
          <w:lang w:eastAsia="zh-CN"/>
        </w:rPr>
        <w:t>.</w:t>
      </w:r>
      <w:r>
        <w:rPr>
          <w:lang w:eastAsia="zh-CN"/>
        </w:rPr>
        <w:br w:type="textWrapping"/>
      </w:r>
    </w:p>
    <w:p w14:paraId="685D9037">
      <w:pPr>
        <w:widowControl/>
        <w:topLinePunct w:val="0"/>
        <w:spacing w:after="0"/>
        <w:jc w:val="left"/>
      </w:pPr>
      <w:r>
        <w:br w:type="page"/>
      </w:r>
    </w:p>
    <w:p w14:paraId="3794CD1E">
      <w:pPr>
        <w:widowControl/>
        <w:topLinePunct w:val="0"/>
        <w:spacing w:after="0"/>
        <w:jc w:val="left"/>
      </w:pPr>
      <w:r>
        <w:rPr>
          <w:rFonts w:hint="eastAsia" w:cs="Calibri"/>
          <w:b/>
          <w:color w:val="FF8200"/>
          <w:spacing w:val="-3"/>
          <w:sz w:val="24"/>
          <w:szCs w:val="40"/>
        </w:rPr>
        <w:t>二、宠物减肥粮主要厂商介绍</w:t>
      </w:r>
    </w:p>
    <w:tbl>
      <w:tblPr>
        <w:tblStyle w:val="205"/>
        <w:tblW w:w="0" w:type="auto"/>
        <w:tblInd w:w="0" w:type="dxa"/>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Layout w:type="autofit"/>
        <w:tblCellMar>
          <w:top w:w="0" w:type="dxa"/>
          <w:left w:w="108" w:type="dxa"/>
          <w:bottom w:w="0" w:type="dxa"/>
          <w:right w:w="108" w:type="dxa"/>
        </w:tblCellMar>
      </w:tblPr>
      <w:tblGrid>
        <w:gridCol w:w="1838"/>
        <w:gridCol w:w="7898"/>
      </w:tblGrid>
      <w:tr w14:paraId="7A324150">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tcBorders>
              <w:top w:val="single" w:color="ED7D31" w:themeColor="accent2" w:sz="4" w:space="0"/>
              <w:left w:val="single" w:color="ED7D31" w:themeColor="accent2" w:sz="4" w:space="0"/>
              <w:bottom w:val="single" w:color="ED7D31" w:themeColor="accent2" w:sz="4" w:space="0"/>
              <w:right w:val="nil"/>
              <w:insideH w:val="single" w:sz="4" w:space="0"/>
              <w:insideV w:val="nil"/>
            </w:tcBorders>
            <w:shd w:val="clear" w:color="auto" w:fill="ED7D31" w:themeFill="accent2"/>
            <w:noWrap/>
          </w:tcPr>
          <w:p w14:paraId="03483D37">
            <w:pPr>
              <w:spacing w:line="360" w:lineRule="auto"/>
              <w:rPr>
                <w:b/>
                <w:bCs/>
                <w:color w:val="FFFFFF" w:themeColor="background1"/>
                <w14:textFill>
                  <w14:solidFill>
                    <w14:schemeClr w14:val="bg1"/>
                  </w14:solidFill>
                </w14:textFill>
              </w:rPr>
            </w:pPr>
            <w:bookmarkStart w:id="13" w:name="_Hlk209964639"/>
            <w:r>
              <w:rPr>
                <w:rFonts w:hint="eastAsia"/>
                <w:b/>
                <w:bCs/>
                <w:color w:val="FFFFFF" w:themeColor="background1"/>
                <w14:textFill>
                  <w14:solidFill>
                    <w14:schemeClr w14:val="bg1"/>
                  </w14:solidFill>
                </w14:textFill>
              </w:rPr>
              <w:t>序号</w:t>
            </w:r>
          </w:p>
        </w:tc>
        <w:tc>
          <w:tcPr>
            <w:tcW w:w="7898" w:type="dxa"/>
            <w:tcBorders>
              <w:top w:val="single" w:color="ED7D31" w:themeColor="accent2" w:sz="4" w:space="0"/>
              <w:bottom w:val="single" w:color="ED7D31" w:themeColor="accent2" w:sz="4" w:space="0"/>
              <w:right w:val="single" w:color="ED7D31" w:themeColor="accent2" w:sz="4" w:space="0"/>
              <w:insideH w:val="single" w:sz="4" w:space="0"/>
              <w:insideV w:val="nil"/>
            </w:tcBorders>
            <w:shd w:val="clear" w:color="auto" w:fill="ED7D31" w:themeFill="accent2"/>
            <w:noWrap/>
          </w:tcPr>
          <w:p w14:paraId="056120C1">
            <w:pPr>
              <w:spacing w:line="360" w:lineRule="auto"/>
              <w:rPr>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企业</w:t>
            </w:r>
          </w:p>
        </w:tc>
      </w:tr>
      <w:tr w14:paraId="74D38146">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shd w:val="clear" w:color="auto" w:fill="FBE4D5" w:themeFill="accent2" w:themeFillTint="33"/>
            <w:noWrap/>
          </w:tcPr>
          <w:p w14:paraId="7500898B">
            <w:pPr>
              <w:spacing w:line="360" w:lineRule="auto"/>
              <w:rPr>
                <w:b/>
                <w:bCs/>
              </w:rPr>
            </w:pPr>
            <w:r>
              <w:rPr>
                <w:rFonts w:hint="eastAsia"/>
                <w:b/>
                <w:bCs/>
              </w:rPr>
              <w:t>1</w:t>
            </w:r>
          </w:p>
        </w:tc>
        <w:tc>
          <w:tcPr>
            <w:tcW w:w="7898" w:type="dxa"/>
            <w:shd w:val="clear" w:color="auto" w:fill="FBE4D5" w:themeFill="accent2" w:themeFillTint="33"/>
            <w:noWrap/>
          </w:tcPr>
          <w:p w14:paraId="30A9955B">
            <w:pPr>
              <w:spacing w:line="360" w:lineRule="auto"/>
              <w:rPr>
                <w:szCs w:val="22"/>
              </w:rPr>
            </w:pPr>
            <w:r>
              <w:rPr>
                <w:rFonts w:ascii="Times New Roman" w:hAnsi="Times New Roman" w:cs="Times New Roman"/>
              </w:rPr>
              <w:t>Colgate-Palmolive</w:t>
            </w:r>
          </w:p>
        </w:tc>
      </w:tr>
      <w:tr w14:paraId="725D53B5">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noWrap/>
          </w:tcPr>
          <w:p w14:paraId="711343A0">
            <w:pPr>
              <w:spacing w:line="360" w:lineRule="auto"/>
              <w:rPr>
                <w:b/>
                <w:bCs/>
              </w:rPr>
            </w:pPr>
            <w:r>
              <w:rPr>
                <w:rFonts w:hint="eastAsia"/>
                <w:b/>
                <w:bCs/>
              </w:rPr>
              <w:t>2</w:t>
            </w:r>
          </w:p>
        </w:tc>
        <w:tc>
          <w:tcPr>
            <w:tcW w:w="7898" w:type="dxa"/>
            <w:noWrap/>
          </w:tcPr>
          <w:p w14:paraId="0B16523B">
            <w:pPr>
              <w:spacing w:line="360" w:lineRule="auto"/>
              <w:rPr>
                <w:szCs w:val="22"/>
              </w:rPr>
            </w:pPr>
            <w:r>
              <w:rPr>
                <w:rFonts w:ascii="Times New Roman" w:hAnsi="Times New Roman" w:cs="Times New Roman"/>
              </w:rPr>
              <w:t>Mars</w:t>
            </w:r>
          </w:p>
        </w:tc>
      </w:tr>
      <w:tr w14:paraId="2FA1A8A7">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shd w:val="clear" w:color="auto" w:fill="FBE4D5" w:themeFill="accent2" w:themeFillTint="33"/>
            <w:noWrap/>
          </w:tcPr>
          <w:p w14:paraId="01614264">
            <w:pPr>
              <w:spacing w:line="360" w:lineRule="auto"/>
              <w:rPr>
                <w:b/>
                <w:bCs/>
              </w:rPr>
            </w:pPr>
            <w:r>
              <w:rPr>
                <w:rFonts w:hint="eastAsia"/>
                <w:b/>
                <w:bCs/>
              </w:rPr>
              <w:t>3</w:t>
            </w:r>
          </w:p>
        </w:tc>
        <w:tc>
          <w:tcPr>
            <w:tcW w:w="7898" w:type="dxa"/>
            <w:shd w:val="clear" w:color="auto" w:fill="FBE4D5" w:themeFill="accent2" w:themeFillTint="33"/>
            <w:noWrap/>
          </w:tcPr>
          <w:p w14:paraId="0B3C9EB8">
            <w:pPr>
              <w:spacing w:line="360" w:lineRule="auto"/>
              <w:rPr>
                <w:szCs w:val="22"/>
              </w:rPr>
            </w:pPr>
            <w:bookmarkStart w:id="14" w:name="_Hlk218616960"/>
            <w:r>
              <w:rPr>
                <w:rFonts w:ascii="Times New Roman" w:hAnsi="Times New Roman" w:cs="Times New Roman"/>
              </w:rPr>
              <w:t>Nestlé</w:t>
            </w:r>
            <w:bookmarkEnd w:id="14"/>
          </w:p>
        </w:tc>
      </w:tr>
      <w:tr w14:paraId="19699976">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noWrap/>
          </w:tcPr>
          <w:p w14:paraId="281E84D4">
            <w:pPr>
              <w:spacing w:line="360" w:lineRule="auto"/>
              <w:rPr>
                <w:b/>
                <w:bCs/>
              </w:rPr>
            </w:pPr>
            <w:r>
              <w:rPr>
                <w:rFonts w:hint="eastAsia"/>
                <w:b/>
                <w:bCs/>
              </w:rPr>
              <w:t>4</w:t>
            </w:r>
          </w:p>
        </w:tc>
        <w:tc>
          <w:tcPr>
            <w:tcW w:w="7898" w:type="dxa"/>
            <w:noWrap/>
          </w:tcPr>
          <w:p w14:paraId="35DA793B">
            <w:pPr>
              <w:spacing w:line="360" w:lineRule="auto"/>
              <w:rPr>
                <w:szCs w:val="22"/>
              </w:rPr>
            </w:pPr>
            <w:r>
              <w:rPr>
                <w:rFonts w:ascii="Times New Roman" w:hAnsi="Times New Roman" w:cs="Times New Roman"/>
              </w:rPr>
              <w:t>Farmina Pet Foods</w:t>
            </w:r>
          </w:p>
        </w:tc>
      </w:tr>
    </w:tbl>
    <w:p w14:paraId="3F7E00D8">
      <w:pPr>
        <w:pStyle w:val="145"/>
        <w:rPr>
          <w:i/>
          <w:sz w:val="16"/>
          <w:lang w:eastAsia="zh-CN"/>
        </w:rPr>
      </w:pPr>
      <w:r>
        <w:rPr>
          <w:rFonts w:hint="eastAsia"/>
          <w:i/>
          <w:sz w:val="16"/>
          <w:lang w:eastAsia="zh-CN"/>
        </w:rPr>
        <w:t>来源：第三方资料、QYResearch研究团队</w:t>
      </w:r>
      <w:bookmarkEnd w:id="13"/>
    </w:p>
    <w:p w14:paraId="6BD79642">
      <w:pPr>
        <w:widowControl/>
        <w:topLinePunct w:val="0"/>
        <w:spacing w:after="0"/>
        <w:jc w:val="left"/>
      </w:pPr>
      <w:r>
        <w:rPr>
          <w:rFonts w:hint="eastAsia"/>
        </w:rPr>
        <w:t>根据QYResearch头部企业研究中心调研，全球范围内宠物减肥粮生产商主要包括</w:t>
      </w:r>
      <w:r>
        <w:rPr>
          <w:rFonts w:ascii="Times New Roman" w:hAnsi="Times New Roman" w:cs="Times New Roman"/>
          <w:color w:val="0D0D0D" w:themeColor="text1" w:themeTint="F2"/>
          <w:kern w:val="0"/>
          <w:szCs w:val="22"/>
          <w:lang w:val="en-IN"/>
          <w14:textFill>
            <w14:solidFill>
              <w14:schemeClr w14:val="tx1">
                <w14:lumMod w14:val="95000"/>
                <w14:lumOff w14:val="5000"/>
              </w14:schemeClr>
            </w14:solidFill>
          </w14:textFill>
        </w:rPr>
        <w:t>Colgate-Palmolive, Mars, Orbitvu, Nestlé, Farmina Pet Foods</w:t>
      </w:r>
      <w:r>
        <w:rPr>
          <w:rFonts w:hint="eastAsia"/>
        </w:rPr>
        <w:t>等。2024年，全球前三大厂商占有大约48%的市场份额。</w:t>
      </w:r>
    </w:p>
    <w:p w14:paraId="13ECA253">
      <w:pPr>
        <w:widowControl/>
        <w:topLinePunct w:val="0"/>
        <w:spacing w:after="0"/>
        <w:jc w:val="left"/>
      </w:pPr>
      <w:bookmarkStart w:id="15" w:name="_Hlk210146254"/>
    </w:p>
    <w:p w14:paraId="200FF6D9">
      <w:pPr>
        <w:widowControl/>
        <w:topLinePunct w:val="0"/>
        <w:spacing w:after="0"/>
        <w:jc w:val="left"/>
        <w:rPr>
          <w:rFonts w:cs="Calibri"/>
          <w:b/>
          <w:color w:val="FF8200"/>
          <w:spacing w:val="-3"/>
          <w:sz w:val="24"/>
          <w:szCs w:val="40"/>
        </w:rPr>
      </w:pPr>
      <w:bookmarkStart w:id="16" w:name="_Hlk210146123"/>
      <w:r>
        <w:rPr>
          <w:rFonts w:hint="eastAsia" w:cs="Calibri"/>
          <w:b/>
          <w:color w:val="FF8200"/>
          <w:spacing w:val="-3"/>
          <w:sz w:val="24"/>
          <w:szCs w:val="40"/>
        </w:rPr>
        <w:t>重点企业介绍</w:t>
      </w:r>
    </w:p>
    <w:p w14:paraId="4554130C">
      <w:pPr>
        <w:widowControl/>
        <w:topLinePunct w:val="0"/>
        <w:spacing w:after="0"/>
        <w:jc w:val="left"/>
        <w:rPr>
          <w:rFonts w:cs="Calibri"/>
          <w:b/>
          <w:color w:val="FF8200"/>
          <w:spacing w:val="-3"/>
          <w:sz w:val="24"/>
          <w:szCs w:val="40"/>
        </w:rPr>
      </w:pPr>
    </w:p>
    <w:p w14:paraId="6DBF920D">
      <w:pPr>
        <w:widowControl/>
        <w:topLinePunct w:val="0"/>
        <w:spacing w:after="0"/>
        <w:jc w:val="left"/>
        <w:rPr>
          <w:rFonts w:cs="Calibri"/>
          <w:b/>
          <w:color w:val="FF8200"/>
          <w:spacing w:val="-3"/>
          <w:sz w:val="24"/>
          <w:szCs w:val="40"/>
        </w:rPr>
      </w:pPr>
      <w:bookmarkStart w:id="17" w:name="_Hlk210145656"/>
      <w:bookmarkStart w:id="18" w:name="_Hlk210146309"/>
      <w:r>
        <w:rPr>
          <w:rFonts w:ascii="Times New Roman" w:hAnsi="Times New Roman" w:cs="Times New Roman"/>
          <w:b/>
          <w:color w:val="FF8200"/>
          <w:spacing w:val="-3"/>
          <w:kern w:val="0"/>
          <w:sz w:val="24"/>
          <w:szCs w:val="40"/>
        </w:rPr>
        <w:t>Colgate-Palmolive</w:t>
      </w:r>
      <w:bookmarkEnd w:id="17"/>
      <w:r>
        <w:rPr>
          <w:rFonts w:hint="eastAsia" w:cs="Calibri"/>
          <w:b/>
          <w:color w:val="FF8200"/>
          <w:spacing w:val="-3"/>
          <w:sz w:val="24"/>
          <w:szCs w:val="40"/>
        </w:rPr>
        <w:t xml:space="preserve"> </w:t>
      </w:r>
    </w:p>
    <w:bookmarkEnd w:id="15"/>
    <w:bookmarkEnd w:id="16"/>
    <w:bookmarkEnd w:id="18"/>
    <w:p w14:paraId="3A082C4D">
      <w:pPr>
        <w:widowControl/>
        <w:topLinePunct w:val="0"/>
        <w:spacing w:after="0"/>
        <w:jc w:val="center"/>
        <w:rPr>
          <w:rFonts w:cs="Calibri"/>
          <w:b/>
          <w:color w:val="FF8200"/>
          <w:spacing w:val="-3"/>
          <w:sz w:val="24"/>
          <w:szCs w:val="40"/>
        </w:rPr>
      </w:pPr>
      <w:r>
        <w:drawing>
          <wp:inline distT="0" distB="0" distL="0" distR="0">
            <wp:extent cx="2705100" cy="479425"/>
            <wp:effectExtent l="0" t="0" r="0" b="0"/>
            <wp:docPr id="5736133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613339" name="图片 1"/>
                    <pic:cNvPicPr>
                      <a:picLocks noChangeAspect="1"/>
                    </pic:cNvPicPr>
                  </pic:nvPicPr>
                  <pic:blipFill>
                    <a:blip r:embed="rId13"/>
                    <a:stretch>
                      <a:fillRect/>
                    </a:stretch>
                  </pic:blipFill>
                  <pic:spPr>
                    <a:xfrm>
                      <a:off x="0" y="0"/>
                      <a:ext cx="2720605" cy="482794"/>
                    </a:xfrm>
                    <a:prstGeom prst="rect">
                      <a:avLst/>
                    </a:prstGeom>
                  </pic:spPr>
                </pic:pic>
              </a:graphicData>
            </a:graphic>
          </wp:inline>
        </w:drawing>
      </w:r>
    </w:p>
    <w:tbl>
      <w:tblPr>
        <w:tblStyle w:val="205"/>
        <w:tblW w:w="0" w:type="auto"/>
        <w:jc w:val="center"/>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Layout w:type="autofit"/>
        <w:tblCellMar>
          <w:top w:w="0" w:type="dxa"/>
          <w:left w:w="108" w:type="dxa"/>
          <w:bottom w:w="0" w:type="dxa"/>
          <w:right w:w="108" w:type="dxa"/>
        </w:tblCellMar>
      </w:tblPr>
      <w:tblGrid>
        <w:gridCol w:w="2830"/>
        <w:gridCol w:w="6906"/>
      </w:tblGrid>
      <w:tr w14:paraId="6C8CB001">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jc w:val="center"/>
        </w:trPr>
        <w:tc>
          <w:tcPr>
            <w:tcW w:w="2830" w:type="dxa"/>
            <w:tcBorders>
              <w:top w:val="single" w:color="ED7D31" w:themeColor="accent2" w:sz="4" w:space="0"/>
              <w:left w:val="single" w:color="ED7D31" w:themeColor="accent2" w:sz="4" w:space="0"/>
              <w:bottom w:val="single" w:color="ED7D31" w:themeColor="accent2" w:sz="4" w:space="0"/>
              <w:right w:val="nil"/>
              <w:insideH w:val="single" w:sz="4" w:space="0"/>
              <w:insideV w:val="nil"/>
            </w:tcBorders>
            <w:shd w:val="clear" w:color="auto" w:fill="ED7D31" w:themeFill="accent2"/>
            <w:noWrap/>
          </w:tcPr>
          <w:p w14:paraId="5660ABD6">
            <w:pPr>
              <w:spacing w:line="360" w:lineRule="auto"/>
              <w:rPr>
                <w:b/>
                <w:bCs/>
                <w:color w:val="FFFFFF" w:themeColor="background1"/>
                <w14:textFill>
                  <w14:solidFill>
                    <w14:schemeClr w14:val="bg1"/>
                  </w14:solidFill>
                </w14:textFill>
              </w:rPr>
            </w:pPr>
            <w:bookmarkStart w:id="19" w:name="_Hlk210146139"/>
            <w:r>
              <w:rPr>
                <w:b/>
                <w:bCs/>
                <w:color w:val="FFFFFF" w:themeColor="background1"/>
                <w14:textFill>
                  <w14:solidFill>
                    <w14:schemeClr w14:val="bg1"/>
                  </w14:solidFill>
                </w14:textFill>
              </w:rPr>
              <w:t>Colgate-Palmolive</w:t>
            </w:r>
          </w:p>
        </w:tc>
        <w:tc>
          <w:tcPr>
            <w:tcW w:w="6906" w:type="dxa"/>
            <w:tcBorders>
              <w:top w:val="single" w:color="ED7D31" w:themeColor="accent2" w:sz="4" w:space="0"/>
              <w:bottom w:val="single" w:color="ED7D31" w:themeColor="accent2" w:sz="4" w:space="0"/>
              <w:right w:val="single" w:color="ED7D31" w:themeColor="accent2" w:sz="4" w:space="0"/>
              <w:insideH w:val="single" w:sz="4" w:space="0"/>
              <w:insideV w:val="nil"/>
            </w:tcBorders>
            <w:shd w:val="clear" w:color="auto" w:fill="ED7D31" w:themeFill="accent2"/>
            <w:noWrap/>
          </w:tcPr>
          <w:p w14:paraId="55AD185E">
            <w:pPr>
              <w:spacing w:line="360" w:lineRule="auto"/>
              <w:rPr>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描述</w:t>
            </w:r>
          </w:p>
        </w:tc>
      </w:tr>
      <w:tr w14:paraId="0A999130">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jc w:val="center"/>
        </w:trPr>
        <w:tc>
          <w:tcPr>
            <w:tcW w:w="2830" w:type="dxa"/>
            <w:shd w:val="clear" w:color="auto" w:fill="FBE4D5" w:themeFill="accent2" w:themeFillTint="33"/>
            <w:noWrap/>
            <w:vAlign w:val="center"/>
          </w:tcPr>
          <w:p w14:paraId="6C48F8BE">
            <w:pPr>
              <w:spacing w:line="360" w:lineRule="auto"/>
              <w:rPr>
                <w:b/>
                <w:bCs/>
              </w:rPr>
            </w:pPr>
            <w:r>
              <w:rPr>
                <w:rFonts w:hint="eastAsia"/>
                <w:b/>
                <w:bCs/>
              </w:rPr>
              <w:t>企业介绍</w:t>
            </w:r>
          </w:p>
        </w:tc>
        <w:tc>
          <w:tcPr>
            <w:tcW w:w="6906" w:type="dxa"/>
            <w:shd w:val="clear" w:color="auto" w:fill="FBE4D5" w:themeFill="accent2" w:themeFillTint="33"/>
            <w:noWrap/>
          </w:tcPr>
          <w:p w14:paraId="266E2F31">
            <w:pPr>
              <w:widowControl/>
              <w:topLinePunct w:val="0"/>
              <w:spacing w:after="0"/>
              <w:jc w:val="left"/>
              <w:rPr>
                <w:rFonts w:hint="eastAsia"/>
              </w:rPr>
            </w:pPr>
            <w:r>
              <w:rPr>
                <w:rFonts w:hint="eastAsia"/>
              </w:rPr>
              <w:t>高露洁-棕榄是一家拥有超过两百年历史的全球领先消费品公司，总部位于美国纽约。作为全球最具知名度的跨国企业之一，其业务范围广泛覆盖了口腔护理、个人护理、家居护理以及宠物营养四大核心领域。公司以“致力于为人类、家园和地球创造一个更健康的未来”为愿景，产品销往全球200多个国家和地区，是全球家庭渗透率最高的品牌之一。</w:t>
            </w:r>
          </w:p>
          <w:p w14:paraId="6C153A86">
            <w:pPr>
              <w:widowControl/>
              <w:topLinePunct w:val="0"/>
              <w:spacing w:after="0"/>
              <w:jc w:val="left"/>
            </w:pPr>
          </w:p>
          <w:p w14:paraId="05730AB6">
            <w:pPr>
              <w:widowControl/>
              <w:topLinePunct w:val="0"/>
              <w:spacing w:after="0"/>
              <w:jc w:val="left"/>
              <w:rPr>
                <w:rFonts w:hint="eastAsia"/>
              </w:rPr>
            </w:pPr>
            <w:r>
              <w:rPr>
                <w:rFonts w:hint="eastAsia"/>
              </w:rPr>
              <w:t>在口腔护理领域，高露洁是当之无愧的全球领导者，其牙膏和牙刷的市场份额长期稳居世界前列。除了享誉全球的口腔清洁产品外，集团旗下的个人护理品牌如棕榄（Palmolive）和 Protex（普罗泰），以及家居护理品牌 Ajax 等，也在各自的市场中占据重要地位。公司通过持续的技术创新和对可持续发展的承诺，不断提升产品的环保性能和消费者体验。</w:t>
            </w:r>
          </w:p>
          <w:p w14:paraId="296EAE7A">
            <w:pPr>
              <w:widowControl/>
              <w:topLinePunct w:val="0"/>
              <w:spacing w:after="0"/>
              <w:jc w:val="left"/>
            </w:pPr>
          </w:p>
          <w:p w14:paraId="467B7DE5">
            <w:pPr>
              <w:widowControl/>
              <w:topLinePunct w:val="0"/>
              <w:spacing w:after="0"/>
              <w:jc w:val="left"/>
            </w:pPr>
            <w:r>
              <w:rPr>
                <w:rFonts w:hint="eastAsia"/>
              </w:rPr>
              <w:t>特别值得关注的是，高露洁-棕榄旗下的希尔思（Hill's Pet Nutrition）是全球宠物营养与处方粮行业的先行者。希尔思专注于通过科学研究解决宠物的健康问题，包括体重管理、皮肤敏感以及肾脏护理等，将集团的业务触角延伸至高价值的生物科学与兽医领域。目前，希尔思已成为集团业绩增长的重要引擎之一，体现了高露洁-棕榄在健康与营养领域的深厚积累。</w:t>
            </w:r>
          </w:p>
        </w:tc>
      </w:tr>
      <w:tr w14:paraId="6C17780D">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jc w:val="center"/>
        </w:trPr>
        <w:tc>
          <w:tcPr>
            <w:tcW w:w="2830" w:type="dxa"/>
            <w:noWrap/>
            <w:vAlign w:val="center"/>
          </w:tcPr>
          <w:p w14:paraId="40638D7E">
            <w:pPr>
              <w:spacing w:line="360" w:lineRule="auto"/>
              <w:rPr>
                <w:b/>
                <w:bCs/>
              </w:rPr>
            </w:pPr>
            <w:r>
              <w:rPr>
                <w:rFonts w:hint="eastAsia"/>
                <w:b/>
                <w:bCs/>
              </w:rPr>
              <w:t>品牌</w:t>
            </w:r>
          </w:p>
        </w:tc>
        <w:tc>
          <w:tcPr>
            <w:tcW w:w="6906" w:type="dxa"/>
            <w:noWrap/>
          </w:tcPr>
          <w:p w14:paraId="5DE07345">
            <w:pPr>
              <w:pStyle w:val="145"/>
              <w:rPr>
                <w:rFonts w:ascii="Times New Roman" w:hAnsi="Times New Roman" w:cs="Times New Roman"/>
              </w:rPr>
            </w:pPr>
            <w:r>
              <w:rPr>
                <w:rFonts w:ascii="Times New Roman" w:hAnsi="Times New Roman" w:cs="Times New Roman"/>
              </w:rPr>
              <w:t>Hill's Prescription Diet (Metabolic)</w:t>
            </w:r>
          </w:p>
          <w:p w14:paraId="4637F74F">
            <w:pPr>
              <w:widowControl/>
              <w:topLinePunct w:val="0"/>
              <w:spacing w:after="0"/>
              <w:jc w:val="left"/>
            </w:pPr>
            <w:r>
              <w:rPr>
                <w:rFonts w:ascii="Times New Roman" w:hAnsi="Times New Roman" w:cs="Times New Roman"/>
                <w:lang w:eastAsia="en-US"/>
              </w:rPr>
              <w:t>Hill's Science Diet (Perfect Weight / Light)</w:t>
            </w:r>
          </w:p>
        </w:tc>
      </w:tr>
    </w:tbl>
    <w:p w14:paraId="6EF0FF19">
      <w:pPr>
        <w:pStyle w:val="145"/>
        <w:rPr>
          <w:i/>
          <w:sz w:val="16"/>
          <w:lang w:eastAsia="zh-CN"/>
        </w:rPr>
      </w:pPr>
      <w:r>
        <w:rPr>
          <w:rFonts w:hint="eastAsia"/>
          <w:i/>
          <w:sz w:val="16"/>
          <w:lang w:eastAsia="zh-CN"/>
        </w:rPr>
        <w:t>来源：第三方资料、QYResearch研究团队</w:t>
      </w:r>
    </w:p>
    <w:bookmarkEnd w:id="19"/>
    <w:p w14:paraId="7E6EA445">
      <w:pPr>
        <w:widowControl/>
        <w:topLinePunct w:val="0"/>
        <w:spacing w:after="0"/>
        <w:jc w:val="left"/>
        <w:rPr>
          <w:rFonts w:hint="eastAsia" w:ascii="Times New Roman" w:hAnsi="Times New Roman" w:cs="Times New Roman"/>
          <w:b/>
          <w:color w:val="FF8200"/>
          <w:spacing w:val="-3"/>
          <w:kern w:val="0"/>
          <w:sz w:val="24"/>
          <w:szCs w:val="40"/>
        </w:rPr>
      </w:pPr>
      <w:bookmarkStart w:id="20" w:name="_Hlk210145082"/>
      <w:r>
        <w:rPr>
          <w:rFonts w:ascii="Times New Roman" w:hAnsi="Times New Roman" w:cs="Times New Roman"/>
          <w:b/>
          <w:color w:val="FF8200"/>
          <w:spacing w:val="-3"/>
          <w:kern w:val="0"/>
          <w:sz w:val="24"/>
          <w:szCs w:val="40"/>
        </w:rPr>
        <w:t xml:space="preserve">Mars </w:t>
      </w:r>
      <w:bookmarkEnd w:id="20"/>
    </w:p>
    <w:p w14:paraId="01CEFF5A">
      <w:pPr>
        <w:widowControl/>
        <w:topLinePunct w:val="0"/>
        <w:spacing w:after="0"/>
        <w:jc w:val="center"/>
      </w:pPr>
      <w:r>
        <w:drawing>
          <wp:inline distT="0" distB="0" distL="0" distR="0">
            <wp:extent cx="2295525" cy="711835"/>
            <wp:effectExtent l="0" t="0" r="0" b="0"/>
            <wp:docPr id="7463054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6305410" name="图片 1"/>
                    <pic:cNvPicPr>
                      <a:picLocks noChangeAspect="1"/>
                    </pic:cNvPicPr>
                  </pic:nvPicPr>
                  <pic:blipFill>
                    <a:blip r:embed="rId14"/>
                    <a:stretch>
                      <a:fillRect/>
                    </a:stretch>
                  </pic:blipFill>
                  <pic:spPr>
                    <a:xfrm>
                      <a:off x="0" y="0"/>
                      <a:ext cx="2322262" cy="720224"/>
                    </a:xfrm>
                    <a:prstGeom prst="rect">
                      <a:avLst/>
                    </a:prstGeom>
                  </pic:spPr>
                </pic:pic>
              </a:graphicData>
            </a:graphic>
          </wp:inline>
        </w:drawing>
      </w:r>
    </w:p>
    <w:tbl>
      <w:tblPr>
        <w:tblStyle w:val="205"/>
        <w:tblW w:w="0" w:type="auto"/>
        <w:jc w:val="center"/>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Layout w:type="autofit"/>
        <w:tblCellMar>
          <w:top w:w="0" w:type="dxa"/>
          <w:left w:w="108" w:type="dxa"/>
          <w:bottom w:w="0" w:type="dxa"/>
          <w:right w:w="108" w:type="dxa"/>
        </w:tblCellMar>
      </w:tblPr>
      <w:tblGrid>
        <w:gridCol w:w="2830"/>
        <w:gridCol w:w="6906"/>
      </w:tblGrid>
      <w:tr w14:paraId="24D1BFF6">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jc w:val="center"/>
        </w:trPr>
        <w:tc>
          <w:tcPr>
            <w:tcW w:w="2830" w:type="dxa"/>
            <w:tcBorders>
              <w:top w:val="single" w:color="ED7D31" w:themeColor="accent2" w:sz="4" w:space="0"/>
              <w:left w:val="single" w:color="ED7D31" w:themeColor="accent2" w:sz="4" w:space="0"/>
              <w:bottom w:val="single" w:color="ED7D31" w:themeColor="accent2" w:sz="4" w:space="0"/>
              <w:right w:val="nil"/>
              <w:insideH w:val="single" w:sz="4" w:space="0"/>
              <w:insideV w:val="nil"/>
            </w:tcBorders>
            <w:shd w:val="clear" w:color="auto" w:fill="ED7D31" w:themeFill="accent2"/>
            <w:noWrap/>
          </w:tcPr>
          <w:p w14:paraId="1CD6EE13">
            <w:pPr>
              <w:spacing w:line="360" w:lineRule="auto"/>
              <w:rPr>
                <w:rFonts w:hint="eastAsia" w:ascii="Times New Roman" w:hAnsi="Times New Roman" w:cs="Times New Roman"/>
                <w:b w:val="0"/>
                <w:bCs/>
                <w:color w:val="FF8200"/>
                <w:spacing w:val="-3"/>
                <w:kern w:val="0"/>
                <w:sz w:val="24"/>
                <w:szCs w:val="40"/>
              </w:rPr>
            </w:pPr>
            <w:r>
              <w:rPr>
                <w:b/>
                <w:bCs/>
                <w:color w:val="FFFFFF" w:themeColor="background1"/>
                <w14:textFill>
                  <w14:solidFill>
                    <w14:schemeClr w14:val="bg1"/>
                  </w14:solidFill>
                </w14:textFill>
              </w:rPr>
              <w:t xml:space="preserve">Mars </w:t>
            </w:r>
          </w:p>
        </w:tc>
        <w:tc>
          <w:tcPr>
            <w:tcW w:w="6906" w:type="dxa"/>
            <w:tcBorders>
              <w:top w:val="single" w:color="ED7D31" w:themeColor="accent2" w:sz="4" w:space="0"/>
              <w:bottom w:val="single" w:color="ED7D31" w:themeColor="accent2" w:sz="4" w:space="0"/>
              <w:right w:val="single" w:color="ED7D31" w:themeColor="accent2" w:sz="4" w:space="0"/>
              <w:insideH w:val="single" w:sz="4" w:space="0"/>
              <w:insideV w:val="nil"/>
            </w:tcBorders>
            <w:shd w:val="clear" w:color="auto" w:fill="ED7D31" w:themeFill="accent2"/>
            <w:noWrap/>
          </w:tcPr>
          <w:p w14:paraId="7C780E83">
            <w:pPr>
              <w:spacing w:line="360" w:lineRule="auto"/>
              <w:rPr>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描述</w:t>
            </w:r>
          </w:p>
        </w:tc>
      </w:tr>
      <w:tr w14:paraId="4DAB90AA">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jc w:val="center"/>
        </w:trPr>
        <w:tc>
          <w:tcPr>
            <w:tcW w:w="2830" w:type="dxa"/>
            <w:shd w:val="clear" w:color="auto" w:fill="FBE4D5" w:themeFill="accent2" w:themeFillTint="33"/>
            <w:noWrap/>
            <w:vAlign w:val="center"/>
          </w:tcPr>
          <w:p w14:paraId="1DBE0A53">
            <w:pPr>
              <w:spacing w:line="360" w:lineRule="auto"/>
              <w:rPr>
                <w:b/>
                <w:bCs/>
              </w:rPr>
            </w:pPr>
            <w:r>
              <w:rPr>
                <w:rFonts w:hint="eastAsia"/>
                <w:b/>
                <w:bCs/>
              </w:rPr>
              <w:t>企业介绍</w:t>
            </w:r>
          </w:p>
        </w:tc>
        <w:tc>
          <w:tcPr>
            <w:tcW w:w="6906" w:type="dxa"/>
            <w:shd w:val="clear" w:color="auto" w:fill="FBE4D5" w:themeFill="accent2" w:themeFillTint="33"/>
            <w:noWrap/>
          </w:tcPr>
          <w:p w14:paraId="47DD056C">
            <w:pPr>
              <w:widowControl/>
              <w:topLinePunct w:val="0"/>
              <w:spacing w:after="0"/>
              <w:jc w:val="left"/>
              <w:rPr>
                <w:rFonts w:hint="eastAsia"/>
              </w:rPr>
            </w:pPr>
            <w:r>
              <w:rPr>
                <w:rFonts w:hint="eastAsia"/>
              </w:rPr>
              <w:t>玛氏公司是一家拥有超过百年历史的全球性家族企业，总部位于美国弗吉尼亚州麦克莱恩。作为全球最大的食品加工与宠物护理巨头之一，玛氏以其卓越的品牌影响力和非上市的私人企业身份而闻名。公司业务高度多元化，主要涵盖了宠物护理、巧克力及糖果、零食以及特殊食品四大核心板块。玛氏始终坚持“质量、责任、互惠、效率、自主”的五大原则，其产品和服务遍布全球 80 多个国家和地区。</w:t>
            </w:r>
          </w:p>
          <w:p w14:paraId="778DC707">
            <w:pPr>
              <w:widowControl/>
              <w:topLinePunct w:val="0"/>
              <w:spacing w:after="0"/>
              <w:jc w:val="left"/>
            </w:pPr>
          </w:p>
          <w:p w14:paraId="168B0F54">
            <w:pPr>
              <w:widowControl/>
              <w:topLinePunct w:val="0"/>
              <w:spacing w:after="0"/>
              <w:jc w:val="left"/>
              <w:rPr>
                <w:rFonts w:hint="eastAsia"/>
              </w:rPr>
            </w:pPr>
            <w:r>
              <w:rPr>
                <w:rFonts w:hint="eastAsia"/>
              </w:rPr>
              <w:t>在宠物护理领域，玛氏是该行业的全球领军者。通过旗下的皇家（Royal Canin）、希宝（Sheba）、宝路（Pedigree）、**伟嘉（Whiskas）以及爱慕斯（Iams）**等知名品牌，玛氏构建了从大众消费到专业医疗处方粮的完整产品矩阵。此外，玛氏还通过大规模收购建立了庞大的宠物医疗网络（如 Banfield 和 VCA 宠物医院），使其成为全球唯一一家能够提供从营养食品到专业医疗全产业链服务的宠物健康服务商。</w:t>
            </w:r>
          </w:p>
          <w:p w14:paraId="6FD7D2A5">
            <w:pPr>
              <w:widowControl/>
              <w:topLinePunct w:val="0"/>
              <w:spacing w:after="0"/>
              <w:jc w:val="left"/>
            </w:pPr>
          </w:p>
          <w:p w14:paraId="1E9ED058">
            <w:pPr>
              <w:widowControl/>
              <w:topLinePunct w:val="0"/>
              <w:spacing w:after="0"/>
              <w:jc w:val="left"/>
            </w:pPr>
            <w:r>
              <w:rPr>
                <w:rFonts w:hint="eastAsia"/>
              </w:rPr>
              <w:t>在零食与食品领域，玛氏拥有德芙（Dove）、士力架（Snickers）、M&amp;M's、特趣（Twix）等享誉世界的糖果品牌，以及益达（Extra）等全球知名的口香糖业务。近年来，玛氏积极推动产品升级，致力于减少包装对环境的影响，并针对健康趋势推出了减糖及功能性食品。凭借其深厚的品牌积淀、强大的供应链能力以及在宠物健康领域的战略布局，玛氏在全球消费品市场中始终保持着极强的竞争力。</w:t>
            </w:r>
          </w:p>
        </w:tc>
      </w:tr>
      <w:tr w14:paraId="51EFBBE8">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jc w:val="center"/>
        </w:trPr>
        <w:tc>
          <w:tcPr>
            <w:tcW w:w="2830" w:type="dxa"/>
            <w:noWrap/>
            <w:vAlign w:val="center"/>
          </w:tcPr>
          <w:p w14:paraId="49D9BBA6">
            <w:pPr>
              <w:spacing w:line="360" w:lineRule="auto"/>
              <w:rPr>
                <w:b/>
                <w:bCs/>
              </w:rPr>
            </w:pPr>
            <w:r>
              <w:rPr>
                <w:rFonts w:hint="eastAsia"/>
                <w:b/>
                <w:bCs/>
              </w:rPr>
              <w:t>产品品牌</w:t>
            </w:r>
          </w:p>
        </w:tc>
        <w:tc>
          <w:tcPr>
            <w:tcW w:w="6906" w:type="dxa"/>
            <w:noWrap/>
          </w:tcPr>
          <w:p w14:paraId="719F4B4A">
            <w:pPr>
              <w:pStyle w:val="145"/>
              <w:rPr>
                <w:rFonts w:ascii="Times New Roman" w:hAnsi="Times New Roman" w:cs="Times New Roman"/>
                <w:lang w:eastAsia="zh-CN"/>
              </w:rPr>
            </w:pPr>
            <w:r>
              <w:rPr>
                <w:rFonts w:ascii="Times New Roman" w:hAnsi="Times New Roman" w:cs="Times New Roman"/>
                <w:lang w:eastAsia="zh-CN"/>
              </w:rPr>
              <w:t>Royal Canin</w:t>
            </w:r>
          </w:p>
          <w:p w14:paraId="4100ACBE">
            <w:pPr>
              <w:widowControl/>
              <w:topLinePunct w:val="0"/>
              <w:spacing w:after="0"/>
              <w:jc w:val="left"/>
            </w:pPr>
            <w:r>
              <w:rPr>
                <w:rFonts w:ascii="Times New Roman" w:hAnsi="Times New Roman" w:cs="Times New Roman"/>
              </w:rPr>
              <w:t>Eukanuba</w:t>
            </w:r>
          </w:p>
        </w:tc>
      </w:tr>
    </w:tbl>
    <w:p w14:paraId="52A51445">
      <w:pPr>
        <w:pStyle w:val="145"/>
        <w:rPr>
          <w:i/>
          <w:sz w:val="16"/>
          <w:lang w:eastAsia="zh-CN"/>
        </w:rPr>
      </w:pPr>
      <w:r>
        <w:rPr>
          <w:rFonts w:hint="eastAsia"/>
          <w:i/>
          <w:sz w:val="16"/>
          <w:lang w:eastAsia="zh-CN"/>
        </w:rPr>
        <w:t>来源：第三方资料、QYResearch研究团队</w:t>
      </w:r>
    </w:p>
    <w:p w14:paraId="453C0747">
      <w:pPr>
        <w:widowControl/>
        <w:topLinePunct w:val="0"/>
        <w:spacing w:after="0"/>
        <w:jc w:val="center"/>
        <w:rPr>
          <w:i/>
          <w:color w:val="0D0D0D" w:themeColor="text1" w:themeTint="F2"/>
          <w:kern w:val="0"/>
          <w:sz w:val="16"/>
          <w:szCs w:val="22"/>
          <w:lang w:val="en-IN"/>
          <w14:textFill>
            <w14:solidFill>
              <w14:schemeClr w14:val="tx1">
                <w14:lumMod w14:val="95000"/>
                <w14:lumOff w14:val="5000"/>
              </w14:schemeClr>
            </w14:solidFill>
          </w14:textFill>
        </w:rPr>
      </w:pPr>
    </w:p>
    <w:p w14:paraId="5322093D">
      <w:pPr>
        <w:widowControl/>
        <w:topLinePunct w:val="0"/>
        <w:spacing w:after="0"/>
        <w:jc w:val="left"/>
        <w:rPr>
          <w:rFonts w:cs="Calibri"/>
          <w:b/>
          <w:color w:val="FF8200"/>
          <w:spacing w:val="-3"/>
          <w:kern w:val="0"/>
          <w:sz w:val="24"/>
          <w:szCs w:val="40"/>
        </w:rPr>
      </w:pPr>
      <w:r>
        <w:rPr>
          <w:rFonts w:cs="Calibri"/>
          <w:b/>
          <w:color w:val="FF8200"/>
          <w:spacing w:val="-3"/>
          <w:sz w:val="24"/>
          <w:szCs w:val="40"/>
        </w:rPr>
        <w:br w:type="page"/>
      </w:r>
    </w:p>
    <w:p w14:paraId="2E58A97B">
      <w:pPr>
        <w:pStyle w:val="145"/>
        <w:rPr>
          <w:rFonts w:cs="Calibri"/>
          <w:b/>
          <w:color w:val="FF8200"/>
          <w:spacing w:val="-3"/>
          <w:sz w:val="24"/>
          <w:szCs w:val="40"/>
          <w:lang w:val="en-US" w:eastAsia="zh-CN"/>
        </w:rPr>
      </w:pPr>
      <w:r>
        <w:rPr>
          <w:rFonts w:hint="eastAsia" w:cs="Calibri"/>
          <w:b/>
          <w:color w:val="FF8200"/>
          <w:spacing w:val="-3"/>
          <w:sz w:val="24"/>
          <w:szCs w:val="40"/>
          <w:lang w:val="en-US" w:eastAsia="zh-CN"/>
        </w:rPr>
        <w:t>三、宠物减肥粮产业链分析</w:t>
      </w:r>
    </w:p>
    <w:tbl>
      <w:tblPr>
        <w:tblStyle w:val="205"/>
        <w:tblW w:w="0" w:type="auto"/>
        <w:tblInd w:w="0" w:type="dxa"/>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Layout w:type="autofit"/>
        <w:tblCellMar>
          <w:top w:w="0" w:type="dxa"/>
          <w:left w:w="108" w:type="dxa"/>
          <w:bottom w:w="0" w:type="dxa"/>
          <w:right w:w="108" w:type="dxa"/>
        </w:tblCellMar>
      </w:tblPr>
      <w:tblGrid>
        <w:gridCol w:w="1770"/>
        <w:gridCol w:w="7966"/>
      </w:tblGrid>
      <w:tr w14:paraId="3E338CFA">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PrEx>
        <w:trPr>
          <w:trHeight w:val="270" w:hRule="atLeast"/>
        </w:trPr>
        <w:tc>
          <w:tcPr>
            <w:tcW w:w="1770" w:type="dxa"/>
            <w:tcBorders>
              <w:top w:val="single" w:color="ED7D31" w:themeColor="accent2" w:sz="4" w:space="0"/>
              <w:left w:val="single" w:color="ED7D31" w:themeColor="accent2" w:sz="4" w:space="0"/>
              <w:bottom w:val="single" w:color="ED7D31" w:themeColor="accent2" w:sz="4" w:space="0"/>
              <w:right w:val="nil"/>
              <w:insideH w:val="single" w:sz="4" w:space="0"/>
              <w:insideV w:val="nil"/>
            </w:tcBorders>
            <w:shd w:val="clear" w:color="auto" w:fill="ED7D31" w:themeFill="accent2"/>
            <w:noWrap/>
          </w:tcPr>
          <w:p w14:paraId="1A6A8CB5">
            <w:pPr>
              <w:spacing w:line="360" w:lineRule="auto"/>
              <w:rPr>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产业链</w:t>
            </w:r>
          </w:p>
        </w:tc>
        <w:tc>
          <w:tcPr>
            <w:tcW w:w="7966" w:type="dxa"/>
            <w:tcBorders>
              <w:top w:val="single" w:color="ED7D31" w:themeColor="accent2" w:sz="4" w:space="0"/>
              <w:bottom w:val="single" w:color="ED7D31" w:themeColor="accent2" w:sz="4" w:space="0"/>
              <w:right w:val="single" w:color="ED7D31" w:themeColor="accent2" w:sz="4" w:space="0"/>
              <w:insideH w:val="single" w:sz="4" w:space="0"/>
              <w:insideV w:val="nil"/>
            </w:tcBorders>
            <w:shd w:val="clear" w:color="auto" w:fill="ED7D31" w:themeFill="accent2"/>
            <w:noWrap/>
          </w:tcPr>
          <w:p w14:paraId="04A4B800">
            <w:pPr>
              <w:spacing w:line="360" w:lineRule="auto"/>
              <w:rPr>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描述</w:t>
            </w:r>
          </w:p>
        </w:tc>
      </w:tr>
      <w:tr w14:paraId="41AA890A">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770" w:type="dxa"/>
            <w:shd w:val="clear" w:color="auto" w:fill="FBE4D5" w:themeFill="accent2" w:themeFillTint="33"/>
            <w:noWrap/>
          </w:tcPr>
          <w:p w14:paraId="5AB41668">
            <w:pPr>
              <w:spacing w:line="360" w:lineRule="auto"/>
              <w:rPr>
                <w:b/>
                <w:bCs/>
              </w:rPr>
            </w:pPr>
            <w:r>
              <w:rPr>
                <w:rFonts w:hint="eastAsia"/>
                <w:b/>
                <w:bCs/>
              </w:rPr>
              <w:t>上游</w:t>
            </w:r>
          </w:p>
        </w:tc>
        <w:tc>
          <w:tcPr>
            <w:tcW w:w="7966" w:type="dxa"/>
            <w:shd w:val="clear" w:color="auto" w:fill="FBE4D5" w:themeFill="accent2" w:themeFillTint="33"/>
            <w:noWrap/>
          </w:tcPr>
          <w:p w14:paraId="2B60788C">
            <w:pPr>
              <w:spacing w:line="360" w:lineRule="auto"/>
              <w:rPr>
                <w:rFonts w:hint="eastAsia"/>
              </w:rPr>
            </w:pPr>
            <w:r>
              <w:rPr>
                <w:rFonts w:hint="eastAsia"/>
              </w:rPr>
              <w:t>功能性原料供应商： 减肥粮不仅是少放肉，更需添加昂贵的代谢调节剂，如左旋肉碱（L-Carnitine）（促进脂肪转化）、优质膳食纤维（车前子、甜菜粕提供饱腹感）、以及天然抗氧化剂。</w:t>
            </w:r>
          </w:p>
          <w:p w14:paraId="49DE509B">
            <w:pPr>
              <w:spacing w:line="360" w:lineRule="auto"/>
              <w:rPr>
                <w:rFonts w:hint="eastAsia"/>
              </w:rPr>
            </w:pPr>
            <w:r>
              <w:rPr>
                <w:rFonts w:hint="eastAsia"/>
              </w:rPr>
              <w:t>科研支持与配方研发： 像玛氏和高露洁都有自己的动物营养研究中心（如威豪、希尔思中心）。产业链上游还包括提供基因组学与微生物组学支持的研究机构，用于开发能影响宠物代谢基因的配方。</w:t>
            </w:r>
          </w:p>
          <w:p w14:paraId="49CC677A">
            <w:pPr>
              <w:spacing w:line="360" w:lineRule="auto"/>
              <w:rPr>
                <w:szCs w:val="22"/>
              </w:rPr>
            </w:pPr>
            <w:r>
              <w:rPr>
                <w:rFonts w:hint="eastAsia"/>
              </w:rPr>
              <w:t>基础原料： 瘦肉蛋白（去皮禽肉、白肉鱼）、低糖碳水源（燕麦、大麦等低GI食物）。</w:t>
            </w:r>
          </w:p>
        </w:tc>
      </w:tr>
      <w:tr w14:paraId="6C2FCA3F">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770" w:type="dxa"/>
            <w:noWrap/>
          </w:tcPr>
          <w:p w14:paraId="465816AE">
            <w:pPr>
              <w:spacing w:line="360" w:lineRule="auto"/>
              <w:rPr>
                <w:b/>
                <w:bCs/>
              </w:rPr>
            </w:pPr>
            <w:r>
              <w:rPr>
                <w:rFonts w:hint="eastAsia"/>
                <w:b/>
                <w:bCs/>
              </w:rPr>
              <w:t>中游</w:t>
            </w:r>
          </w:p>
        </w:tc>
        <w:tc>
          <w:tcPr>
            <w:tcW w:w="7966" w:type="dxa"/>
            <w:noWrap/>
          </w:tcPr>
          <w:p w14:paraId="0BB60FDC">
            <w:pPr>
              <w:spacing w:line="360" w:lineRule="auto"/>
              <w:rPr>
                <w:rFonts w:hint="eastAsia"/>
              </w:rPr>
            </w:pPr>
            <w:r>
              <w:rPr>
                <w:rFonts w:hint="eastAsia"/>
              </w:rPr>
              <w:t>全球巨头（跨国公司）： 玛氏（皇家）和高露洁（希尔思）。它们掌握着临床验证数据和兽医渠道的绝对话语权，属于“规则制定者”。</w:t>
            </w:r>
          </w:p>
          <w:p w14:paraId="0FD1CCF1">
            <w:pPr>
              <w:spacing w:line="360" w:lineRule="auto"/>
              <w:rPr>
                <w:rFonts w:hint="eastAsia"/>
              </w:rPr>
            </w:pPr>
            <w:r>
              <w:rPr>
                <w:rFonts w:hint="eastAsia"/>
              </w:rPr>
              <w:t>专业代工厂（OEM/ODM）： 许多新兴品牌依赖代工厂。但在减肥粮领域，由于对膨化技术、油脂喷涂工艺及纤维占比有严格要求，只有具备精密设备（如双螺杆挤出机）的高端工厂才能生产高品质产品。</w:t>
            </w:r>
          </w:p>
          <w:p w14:paraId="3C6AE714">
            <w:pPr>
              <w:spacing w:line="360" w:lineRule="auto"/>
              <w:rPr>
                <w:szCs w:val="22"/>
              </w:rPr>
            </w:pPr>
            <w:r>
              <w:rPr>
                <w:rFonts w:hint="eastAsia"/>
              </w:rPr>
              <w:t>品牌定位： 分为处方级（需兽医开具）和预防级（零售）。品牌方的核心壁垒在于其“科研背书”和对消费者的健康教育能力。</w:t>
            </w:r>
          </w:p>
        </w:tc>
      </w:tr>
      <w:tr w14:paraId="3903D8C2">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770" w:type="dxa"/>
            <w:shd w:val="clear" w:color="auto" w:fill="FBE4D5" w:themeFill="accent2" w:themeFillTint="33"/>
            <w:noWrap/>
          </w:tcPr>
          <w:p w14:paraId="006EC6E1">
            <w:pPr>
              <w:spacing w:line="360" w:lineRule="auto"/>
              <w:rPr>
                <w:b/>
                <w:bCs/>
              </w:rPr>
            </w:pPr>
            <w:r>
              <w:rPr>
                <w:rFonts w:hint="eastAsia"/>
                <w:b/>
                <w:bCs/>
              </w:rPr>
              <w:t>下游</w:t>
            </w:r>
          </w:p>
        </w:tc>
        <w:tc>
          <w:tcPr>
            <w:tcW w:w="7966" w:type="dxa"/>
            <w:shd w:val="clear" w:color="auto" w:fill="FBE4D5" w:themeFill="accent2" w:themeFillTint="33"/>
            <w:noWrap/>
          </w:tcPr>
          <w:p w14:paraId="747EAC17">
            <w:pPr>
              <w:spacing w:line="360" w:lineRule="auto"/>
              <w:rPr>
                <w:rFonts w:hint="eastAsia"/>
              </w:rPr>
            </w:pPr>
            <w:r>
              <w:rPr>
                <w:rFonts w:hint="eastAsia"/>
              </w:rPr>
              <w:t>专业渠道（兽医/宠物医院）： 减肥粮尤其是处方粮，高度依赖执业兽医的推荐。医院不仅卖粮，还提供体况评估（BCS评分）、抽血检查等增值服务。</w:t>
            </w:r>
          </w:p>
          <w:p w14:paraId="2F81AC41">
            <w:pPr>
              <w:spacing w:line="360" w:lineRule="auto"/>
              <w:rPr>
                <w:rFonts w:hint="eastAsia"/>
              </w:rPr>
            </w:pPr>
            <w:r>
              <w:rPr>
                <w:rFonts w:hint="eastAsia"/>
              </w:rPr>
              <w:t>线上与线下零售： 天猫、京东等电商平台是大众功能粮的主战场。线下精品宠物店则作为品牌展示和社群运营的据点。</w:t>
            </w:r>
          </w:p>
          <w:p w14:paraId="34D0601C">
            <w:pPr>
              <w:spacing w:line="360" w:lineRule="auto"/>
              <w:rPr>
                <w:szCs w:val="22"/>
              </w:rPr>
            </w:pPr>
            <w:r>
              <w:rPr>
                <w:rFonts w:hint="eastAsia"/>
              </w:rPr>
              <w:t>配套服务业： 这是一个新兴环节，包括宠物健身中心、减肥营、智能喂食器硬件等。它们配合减肥粮使用，形成闭环。</w:t>
            </w:r>
          </w:p>
        </w:tc>
      </w:tr>
    </w:tbl>
    <w:p w14:paraId="61ED0104">
      <w:pPr>
        <w:pStyle w:val="145"/>
        <w:rPr>
          <w:i/>
          <w:sz w:val="16"/>
          <w:lang w:eastAsia="zh-CN"/>
        </w:rPr>
      </w:pPr>
      <w:r>
        <w:rPr>
          <w:rFonts w:hint="eastAsia"/>
          <w:i/>
          <w:sz w:val="16"/>
          <w:lang w:eastAsia="zh-CN"/>
        </w:rPr>
        <w:t>来源：第三方资料、QYResearch研究团队</w:t>
      </w:r>
      <w:bookmarkStart w:id="21" w:name="_Hlk208567968"/>
    </w:p>
    <w:bookmarkEnd w:id="21"/>
    <w:p w14:paraId="693F37F2">
      <w:pPr>
        <w:widowControl/>
        <w:topLinePunct w:val="0"/>
        <w:spacing w:after="0"/>
        <w:jc w:val="left"/>
        <w:rPr>
          <w:i/>
          <w:color w:val="0D0D0D" w:themeColor="text1" w:themeTint="F2"/>
          <w:kern w:val="0"/>
          <w:sz w:val="16"/>
          <w:szCs w:val="22"/>
          <w:lang w:val="en-IN"/>
          <w14:textFill>
            <w14:solidFill>
              <w14:schemeClr w14:val="tx1">
                <w14:lumMod w14:val="95000"/>
                <w14:lumOff w14:val="5000"/>
              </w14:schemeClr>
            </w14:solidFill>
          </w14:textFill>
        </w:rPr>
      </w:pPr>
      <w:bookmarkStart w:id="22" w:name="_Hlk208567978"/>
      <w:r>
        <w:rPr>
          <w:rFonts w:hint="eastAsia" w:cs="Calibri"/>
          <w:b/>
          <w:color w:val="FF8200"/>
          <w:spacing w:val="-3"/>
          <w:sz w:val="24"/>
          <w:szCs w:val="40"/>
        </w:rPr>
        <w:t>四、宠物减肥粮行业发展趋势、机遇、阻碍因素和行业壁垒</w:t>
      </w:r>
    </w:p>
    <w:bookmarkEnd w:id="22"/>
    <w:p w14:paraId="4202FBE9">
      <w:pPr>
        <w:widowControl/>
        <w:topLinePunct w:val="0"/>
        <w:spacing w:after="0"/>
        <w:jc w:val="left"/>
        <w:rPr>
          <w:rFonts w:cs="Calibri"/>
          <w:b/>
          <w:color w:val="FF8200"/>
          <w:spacing w:val="-3"/>
          <w:sz w:val="24"/>
          <w:szCs w:val="40"/>
        </w:rPr>
      </w:pPr>
    </w:p>
    <w:p w14:paraId="088B359C">
      <w:pPr>
        <w:widowControl/>
        <w:topLinePunct w:val="0"/>
        <w:spacing w:after="0"/>
        <w:jc w:val="left"/>
        <w:rPr>
          <w:rFonts w:hint="eastAsia" w:cs="Calibri"/>
          <w:b/>
          <w:color w:val="FF8200"/>
          <w:spacing w:val="-3"/>
          <w:sz w:val="24"/>
          <w:szCs w:val="40"/>
        </w:rPr>
      </w:pPr>
      <w:r>
        <w:rPr>
          <w:rFonts w:hint="eastAsia" w:cs="Calibri"/>
          <w:b/>
          <w:color w:val="FF8200"/>
          <w:spacing w:val="-3"/>
          <w:sz w:val="24"/>
          <w:szCs w:val="40"/>
        </w:rPr>
        <w:t>宠物减肥粮行业发展趋势</w:t>
      </w:r>
    </w:p>
    <w:p w14:paraId="5F945DFD">
      <w:pPr>
        <w:widowControl/>
        <w:topLinePunct w:val="0"/>
        <w:spacing w:after="0"/>
        <w:jc w:val="left"/>
        <w:rPr>
          <w:rFonts w:hint="eastAsia"/>
        </w:rPr>
      </w:pPr>
      <w:r>
        <w:rPr>
          <w:rFonts w:hint="eastAsia"/>
        </w:rPr>
        <w:t>当前，宠物减肥粮行业正经历从“简单低脂”向“精准代谢科学”的深刻转型。随着宠物“拟人化”程度加深，消费者不再满足于通过单纯减少卡路里摄入（即节食）来减重，而是倾向于选择能够调节代谢、维持肌肉质量并兼顾饱腹感的精准营养方案。功能化与细分化成为核心趋势，针对不同品种、不同生命阶段（如绝育后、老年期）以及合并症（如关节保护、泌尿系统健康）的复合功能减肥粮正占据市场主流。此外，成分透明化与自然化也在重塑行业，以天然纤维（如南瓜、甜菜粕）和高品质蛋白替代廉价填充剂，正成为中高端品牌建立信任的关键。</w:t>
      </w:r>
    </w:p>
    <w:p w14:paraId="59E69537">
      <w:pPr>
        <w:widowControl/>
        <w:topLinePunct w:val="0"/>
        <w:spacing w:after="0"/>
        <w:jc w:val="left"/>
      </w:pPr>
    </w:p>
    <w:p w14:paraId="7DF744CE">
      <w:pPr>
        <w:widowControl/>
        <w:topLinePunct w:val="0"/>
        <w:spacing w:after="0"/>
        <w:jc w:val="left"/>
        <w:rPr>
          <w:rFonts w:hint="eastAsia" w:cs="Calibri"/>
          <w:b/>
          <w:color w:val="FF8200"/>
          <w:spacing w:val="-3"/>
          <w:sz w:val="24"/>
          <w:szCs w:val="40"/>
        </w:rPr>
      </w:pPr>
      <w:r>
        <w:rPr>
          <w:rFonts w:hint="eastAsia" w:cs="Calibri"/>
          <w:b/>
          <w:color w:val="FF8200"/>
          <w:spacing w:val="-3"/>
          <w:sz w:val="24"/>
          <w:szCs w:val="40"/>
        </w:rPr>
        <w:t>行业机遇</w:t>
      </w:r>
    </w:p>
    <w:p w14:paraId="12178D46">
      <w:pPr>
        <w:widowControl/>
        <w:topLinePunct w:val="0"/>
        <w:spacing w:after="0"/>
        <w:jc w:val="left"/>
        <w:rPr>
          <w:rFonts w:hint="eastAsia"/>
        </w:rPr>
      </w:pPr>
      <w:r>
        <w:rPr>
          <w:rFonts w:hint="eastAsia"/>
        </w:rPr>
        <w:t>全球性的宠物肥胖危机为该行业提供了巨大的增长空间。随着科学养宠观念的普及，宠物肥胖被越来越多地视为一种需要干预的疾病，这直接驱动了医用处方粮向日常功能粮的渗透。在像中国这样正处于宠物消费升级的国家，二三线城市（如石家庄）的“室内久坐宠”数量激增，创造了庞大的潜在市场。此外，“产品+服务”的生态化布局带来了新的业绩增长点，品牌方通过结合智能硬件（如运动追踪器、自动喂食器）提供实时体重监测与个性化喂养计划，极大增强了用户粘性。同时，减肥后用于防止反弹的“长期体重维持方案”也正成为一个尚未被充分开发的蓝海地带。</w:t>
      </w:r>
    </w:p>
    <w:p w14:paraId="2C93626A">
      <w:pPr>
        <w:widowControl/>
        <w:topLinePunct w:val="0"/>
        <w:spacing w:after="0"/>
        <w:jc w:val="left"/>
      </w:pPr>
      <w:bookmarkStart w:id="29" w:name="_GoBack"/>
      <w:bookmarkEnd w:id="29"/>
    </w:p>
    <w:p w14:paraId="2D3347E3">
      <w:pPr>
        <w:widowControl/>
        <w:topLinePunct w:val="0"/>
        <w:spacing w:after="0"/>
        <w:jc w:val="left"/>
        <w:rPr>
          <w:rFonts w:hint="eastAsia" w:cs="Calibri"/>
          <w:b/>
          <w:color w:val="FF8200"/>
          <w:spacing w:val="-3"/>
          <w:sz w:val="24"/>
          <w:szCs w:val="40"/>
        </w:rPr>
      </w:pPr>
      <w:r>
        <w:rPr>
          <w:rFonts w:hint="eastAsia" w:cs="Calibri"/>
          <w:b/>
          <w:color w:val="FF8200"/>
          <w:spacing w:val="-3"/>
          <w:sz w:val="24"/>
          <w:szCs w:val="40"/>
        </w:rPr>
        <w:t>行业挑战</w:t>
      </w:r>
    </w:p>
    <w:p w14:paraId="74641357">
      <w:pPr>
        <w:pStyle w:val="145"/>
        <w:rPr>
          <w:lang w:eastAsia="zh-CN"/>
        </w:rPr>
      </w:pPr>
      <w:r>
        <w:rPr>
          <w:rFonts w:hint="eastAsia"/>
        </w:rPr>
        <w:t>尽管市场前景广阔，但消费者依从性（Owner Compliance）依然是行业面临的最大障碍。宠主往往难以抵御宠物乞食的行为，频繁喂食零食或人类食物，导致减肥粮效果受阻，进而影响对品牌的忠诚度。在监管层面，各国对“减肥”、“减脂”等功能性宣称的审核日益严苛，研发投入成本和临床试验周期不断拉长，这对中小品牌的生存构成了压力。此外，供应链波动与原材料成本上升也带来了经营风险，如何在保持低脂、高纤维等特定配方要求的环境下，平衡原材料（如优质瘦肉源）的成本与终端售价，是企业在存量博弈时代面临的重大考研。</w:t>
      </w:r>
      <w:bookmarkEnd w:id="0"/>
      <w:bookmarkEnd w:id="1"/>
      <w:bookmarkEnd w:id="2"/>
      <w:bookmarkEnd w:id="3"/>
      <w:bookmarkEnd w:id="4"/>
      <w:bookmarkEnd w:id="5"/>
      <w:bookmarkEnd w:id="6"/>
      <w:bookmarkEnd w:id="7"/>
      <w:bookmarkEnd w:id="8"/>
      <w:bookmarkEnd w:id="9"/>
      <w:bookmarkEnd w:id="10"/>
      <w:bookmarkEnd w:id="11"/>
      <w:bookmarkEnd w:id="12"/>
    </w:p>
    <w:sectPr>
      <w:headerReference r:id="rId6" w:type="first"/>
      <w:footerReference r:id="rId9" w:type="first"/>
      <w:headerReference r:id="rId4" w:type="default"/>
      <w:footerReference r:id="rId7" w:type="default"/>
      <w:headerReference r:id="rId5" w:type="even"/>
      <w:footerReference r:id="rId8"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8841AD">
    <w:pPr>
      <w:pStyle w:val="21"/>
      <w:jc w:val="center"/>
    </w:pPr>
    <w:bookmarkStart w:id="23" w:name="_Hlk149300692"/>
    <w:bookmarkStart w:id="24" w:name="_Hlk149300687"/>
    <w:bookmarkStart w:id="25" w:name="_Hlk149300688"/>
    <w:bookmarkStart w:id="26" w:name="_Hlk149300689"/>
    <w:bookmarkStart w:id="27" w:name="_Hlk149300690"/>
    <w:bookmarkStart w:id="28" w:name="_Hlk149300691"/>
    <w:r>
      <w:t xml:space="preserve">Copyright © QYResearch | market@qyresearch.com | </w:t>
    </w:r>
    <w:bookmarkEnd w:id="23"/>
    <w:bookmarkEnd w:id="24"/>
    <w:bookmarkEnd w:id="25"/>
    <w:bookmarkEnd w:id="26"/>
    <w:bookmarkEnd w:id="27"/>
    <w:bookmarkEnd w:id="28"/>
    <w:r>
      <w:t>www.qyresearch.com.cn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23AECF">
    <w:pPr>
      <w:pStyle w:val="2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8E8FE7">
    <w:pPr>
      <w:pStyle w:val="2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35F360">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3B219885">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全球宠物减肥粮市场研究报告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3B219885">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全球宠物减肥粮市场研究报告</w:t>
                    </w:r>
                  </w:p>
                </w:txbxContent>
              </v:textbox>
              <w10:wrap type="square"/>
            </v:shape>
          </w:pict>
        </mc:Fallback>
      </mc:AlternateContent>
    </w:r>
  </w:p>
  <w:p w14:paraId="77C6B204">
    <w:pPr>
      <w:pStyle w:val="22"/>
      <w:pBdr>
        <w:bottom w:val="none" w:color="auto" w:sz="0" w:space="0"/>
      </w:pBdr>
      <w:jc w:val="both"/>
    </w:pPr>
  </w:p>
  <w:p w14:paraId="1CA8454E">
    <w:pPr>
      <w:pStyle w:val="22"/>
      <w:pBdr>
        <w:bottom w:val="none" w:color="auto" w:sz="0" w:space="0"/>
      </w:pBdr>
      <w:jc w:val="both"/>
    </w:pPr>
  </w:p>
  <w:p w14:paraId="7E7792EE">
    <w:pPr>
      <w:pStyle w:val="22"/>
      <w:pBdr>
        <w:bottom w:val="none" w:color="auto" w:sz="0" w:space="0"/>
      </w:pBdr>
      <w:jc w:val="both"/>
    </w:pPr>
  </w:p>
  <w:p w14:paraId="3D55DE52">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641" w:hanging="357"/>
      </w:pPr>
      <w:rPr>
        <w:rFonts w:hint="eastAsia"/>
      </w:rPr>
    </w:lvl>
    <w:lvl w:ilvl="1" w:tentative="0">
      <w:start w:val="1"/>
      <w:numFmt w:val="lowerLetter"/>
      <w:lvlText w:val="%2)"/>
      <w:lvlJc w:val="left"/>
      <w:pPr>
        <w:ind w:left="1124"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964" w:hanging="420"/>
      </w:pPr>
      <w:rPr>
        <w:rFonts w:hint="eastAsia"/>
      </w:rPr>
    </w:lvl>
    <w:lvl w:ilvl="4" w:tentative="0">
      <w:start w:val="1"/>
      <w:numFmt w:val="lowerLetter"/>
      <w:lvlText w:val="%5)"/>
      <w:lvlJc w:val="left"/>
      <w:pPr>
        <w:ind w:left="2384" w:hanging="420"/>
      </w:pPr>
      <w:rPr>
        <w:rFonts w:hint="eastAsia"/>
      </w:rPr>
    </w:lvl>
    <w:lvl w:ilvl="5" w:tentative="0">
      <w:start w:val="1"/>
      <w:numFmt w:val="lowerRoman"/>
      <w:lvlText w:val="%6."/>
      <w:lvlJc w:val="right"/>
      <w:pPr>
        <w:ind w:left="2804" w:hanging="420"/>
      </w:pPr>
      <w:rPr>
        <w:rFonts w:hint="eastAsia"/>
      </w:rPr>
    </w:lvl>
    <w:lvl w:ilvl="6" w:tentative="0">
      <w:start w:val="1"/>
      <w:numFmt w:val="decimal"/>
      <w:lvlText w:val="%7."/>
      <w:lvlJc w:val="left"/>
      <w:pPr>
        <w:ind w:left="3224" w:hanging="420"/>
      </w:pPr>
      <w:rPr>
        <w:rFonts w:hint="eastAsia"/>
      </w:rPr>
    </w:lvl>
    <w:lvl w:ilvl="7" w:tentative="0">
      <w:start w:val="1"/>
      <w:numFmt w:val="lowerLetter"/>
      <w:lvlText w:val="%8)"/>
      <w:lvlJc w:val="left"/>
      <w:pPr>
        <w:ind w:left="3644" w:hanging="420"/>
      </w:pPr>
      <w:rPr>
        <w:rFonts w:hint="eastAsia"/>
      </w:rPr>
    </w:lvl>
    <w:lvl w:ilvl="8" w:tentative="0">
      <w:start w:val="1"/>
      <w:numFmt w:val="lowerRoman"/>
      <w:lvlText w:val="%9."/>
      <w:lvlJc w:val="right"/>
      <w:pPr>
        <w:ind w:left="4064"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917"/>
    <w:rsid w:val="00001B99"/>
    <w:rsid w:val="00001CCF"/>
    <w:rsid w:val="00001F34"/>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1D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C17"/>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3E"/>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685"/>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715"/>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B1A"/>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6E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27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885"/>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33F"/>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C99"/>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18A"/>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228"/>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B5C"/>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36E"/>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053"/>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94F"/>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49"/>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695"/>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9A7"/>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228"/>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C7C"/>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63"/>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159"/>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52A"/>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8D1"/>
    <w:rsid w:val="0037795A"/>
    <w:rsid w:val="00377F73"/>
    <w:rsid w:val="00377FB0"/>
    <w:rsid w:val="00380466"/>
    <w:rsid w:val="003806BB"/>
    <w:rsid w:val="003807C1"/>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2"/>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1F"/>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1F72"/>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89"/>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B39"/>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5D"/>
    <w:rsid w:val="004A7C63"/>
    <w:rsid w:val="004B0160"/>
    <w:rsid w:val="004B02BC"/>
    <w:rsid w:val="004B03BD"/>
    <w:rsid w:val="004B03CE"/>
    <w:rsid w:val="004B099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B6D"/>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6749"/>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A4A"/>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5E9"/>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182"/>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C5C"/>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1C"/>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A6D"/>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5BA0"/>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0DC5"/>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831"/>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3FC"/>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04"/>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0F1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AD7"/>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435"/>
    <w:rsid w:val="006B3559"/>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1B"/>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1B2"/>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755"/>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0B6"/>
    <w:rsid w:val="006E69D9"/>
    <w:rsid w:val="006E6AA2"/>
    <w:rsid w:val="006E6BD1"/>
    <w:rsid w:val="006E6DA7"/>
    <w:rsid w:val="006E6E78"/>
    <w:rsid w:val="006E742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A84"/>
    <w:rsid w:val="006F3C5E"/>
    <w:rsid w:val="006F3EBA"/>
    <w:rsid w:val="006F4C67"/>
    <w:rsid w:val="006F4CF1"/>
    <w:rsid w:val="006F558F"/>
    <w:rsid w:val="006F6422"/>
    <w:rsid w:val="006F644F"/>
    <w:rsid w:val="006F663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0A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7B"/>
    <w:rsid w:val="007237AB"/>
    <w:rsid w:val="007238ED"/>
    <w:rsid w:val="00723A04"/>
    <w:rsid w:val="00723DCB"/>
    <w:rsid w:val="00724290"/>
    <w:rsid w:val="0072438D"/>
    <w:rsid w:val="007244CA"/>
    <w:rsid w:val="00724527"/>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49"/>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5C5"/>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CFF"/>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89"/>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BC4"/>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083"/>
    <w:rsid w:val="007A05BA"/>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36F"/>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05C"/>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0EA"/>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6C1"/>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863"/>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780"/>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D9E"/>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0C2"/>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4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B27"/>
    <w:rsid w:val="008D3D43"/>
    <w:rsid w:val="008D4163"/>
    <w:rsid w:val="008D4A87"/>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73"/>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CB7"/>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3"/>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67C9B"/>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2B6"/>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4B2"/>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BBB"/>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5DF4"/>
    <w:rsid w:val="009F625A"/>
    <w:rsid w:val="009F64E1"/>
    <w:rsid w:val="009F6784"/>
    <w:rsid w:val="009F68E4"/>
    <w:rsid w:val="009F69BE"/>
    <w:rsid w:val="009F6B17"/>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116"/>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68"/>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D0"/>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0C"/>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0A5D"/>
    <w:rsid w:val="00AB1011"/>
    <w:rsid w:val="00AB112E"/>
    <w:rsid w:val="00AB1A41"/>
    <w:rsid w:val="00AB2046"/>
    <w:rsid w:val="00AB2792"/>
    <w:rsid w:val="00AB2927"/>
    <w:rsid w:val="00AB29AB"/>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198F"/>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308"/>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0C68"/>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3FE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4B2"/>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0DCE"/>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790"/>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0ECD"/>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E61"/>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C6A"/>
    <w:rsid w:val="00B96ECB"/>
    <w:rsid w:val="00B97202"/>
    <w:rsid w:val="00B97992"/>
    <w:rsid w:val="00B979E0"/>
    <w:rsid w:val="00B97B59"/>
    <w:rsid w:val="00B97F0B"/>
    <w:rsid w:val="00BA01B4"/>
    <w:rsid w:val="00BA02A4"/>
    <w:rsid w:val="00BA0549"/>
    <w:rsid w:val="00BA0715"/>
    <w:rsid w:val="00BA0827"/>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A8A"/>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954"/>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315"/>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6B3C"/>
    <w:rsid w:val="00BE71DB"/>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57C"/>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5E4"/>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D39"/>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5B1"/>
    <w:rsid w:val="00C8579F"/>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E4C"/>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DD9"/>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006"/>
    <w:rsid w:val="00CD73A9"/>
    <w:rsid w:val="00CD75B1"/>
    <w:rsid w:val="00CD780C"/>
    <w:rsid w:val="00CD7905"/>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099"/>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3FB"/>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87A"/>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78C"/>
    <w:rsid w:val="00D72B19"/>
    <w:rsid w:val="00D72C15"/>
    <w:rsid w:val="00D72E5D"/>
    <w:rsid w:val="00D73054"/>
    <w:rsid w:val="00D73092"/>
    <w:rsid w:val="00D733A6"/>
    <w:rsid w:val="00D7394A"/>
    <w:rsid w:val="00D73ED0"/>
    <w:rsid w:val="00D74208"/>
    <w:rsid w:val="00D74A43"/>
    <w:rsid w:val="00D74A8D"/>
    <w:rsid w:val="00D74ECF"/>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76D"/>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2B"/>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682"/>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6F1"/>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A32"/>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3770"/>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4667"/>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5E3"/>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2925"/>
    <w:rsid w:val="00EB2BF4"/>
    <w:rsid w:val="00EB307E"/>
    <w:rsid w:val="00EB3188"/>
    <w:rsid w:val="00EB3963"/>
    <w:rsid w:val="00EB3D9C"/>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87C"/>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2E"/>
    <w:rsid w:val="00F052E0"/>
    <w:rsid w:val="00F0545C"/>
    <w:rsid w:val="00F05576"/>
    <w:rsid w:val="00F05A7A"/>
    <w:rsid w:val="00F05AB9"/>
    <w:rsid w:val="00F05BE3"/>
    <w:rsid w:val="00F0602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3E5"/>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714"/>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6E76"/>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A63"/>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778"/>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95B"/>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6DE8785D"/>
    <w:rsid w:val="7AB81C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未处理的提及6"/>
    <w:basedOn w:val="67"/>
    <w:semiHidden/>
    <w:unhideWhenUsed/>
    <w:qFormat/>
    <w:uiPriority w:val="99"/>
    <w:rPr>
      <w:color w:val="605E5C"/>
      <w:shd w:val="clear" w:color="auto" w:fill="E1DFDD"/>
    </w:rPr>
  </w:style>
  <w:style w:type="table" w:customStyle="1" w:styleId="205">
    <w:name w:val="Grid Table 4 Accent 2"/>
    <w:basedOn w:val="34"/>
    <w:qFormat/>
    <w:uiPriority w:val="49"/>
    <w:tblPr>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Pr>
    <w:tblStylePr w:type="firstRow">
      <w:rPr>
        <w:b/>
        <w:bCs/>
        <w:color w:val="FFFFFF" w:themeColor="background1"/>
        <w14:textFill>
          <w14:solidFill>
            <w14:schemeClr w14:val="bg1"/>
          </w14:solidFill>
        </w14:textFill>
      </w:rPr>
      <w:tcPr>
        <w:tcBorders>
          <w:top w:val="single" w:color="ED7D31" w:themeColor="accent2" w:sz="4" w:space="0"/>
          <w:left w:val="single" w:color="ED7D31" w:themeColor="accent2" w:sz="4" w:space="0"/>
          <w:bottom w:val="single" w:color="ED7D31" w:themeColor="accent2" w:sz="4" w:space="0"/>
          <w:right w:val="single" w:color="ED7D31" w:themeColor="accent2" w:sz="4" w:space="0"/>
          <w:insideH w:val="nil"/>
          <w:insideV w:val="nil"/>
        </w:tcBorders>
        <w:shd w:val="clear" w:color="auto" w:fill="ED7D31" w:themeFill="accent2"/>
      </w:tcPr>
    </w:tblStylePr>
    <w:tblStylePr w:type="lastRow">
      <w:rPr>
        <w:b/>
        <w:bCs/>
      </w:rPr>
      <w:tcPr>
        <w:tcBorders>
          <w:top w:val="double" w:color="ED7D31" w:themeColor="accent2" w:sz="4" w:space="0"/>
        </w:tcBorders>
      </w:tc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206">
    <w:name w:val="List Table 1 Light Accent 4"/>
    <w:basedOn w:val="34"/>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 w:type="character" w:customStyle="1" w:styleId="207">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theme" Target="theme/theme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DA9133F-CC68-4C73-97AC-72D16D7D81F8}">
  <ds:schemaRefs/>
</ds:datastoreItem>
</file>

<file path=docProps/app.xml><?xml version="1.0" encoding="utf-8"?>
<Properties xmlns="http://schemas.openxmlformats.org/officeDocument/2006/extended-properties" xmlns:vt="http://schemas.openxmlformats.org/officeDocument/2006/docPropsVTypes">
  <Template>Normal</Template>
  <Pages>6</Pages>
  <Words>1733</Words>
  <Characters>2132</Characters>
  <Lines>28</Lines>
  <Paragraphs>8</Paragraphs>
  <TotalTime>900</TotalTime>
  <ScaleCrop>false</ScaleCrop>
  <LinksUpToDate>false</LinksUpToDate>
  <CharactersWithSpaces>2168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2026-01-15T09:57:08Z</dcterms:modified>
  <cp:revision>864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2052-12.1.0.24657</vt:lpwstr>
  </property>
  <property fmtid="{D5CDD505-2E9C-101B-9397-08002B2CF9AE}" pid="4" name="ICV">
    <vt:lpwstr>CBEA5144609E4EC99ED8AC4CD2DF48F6_12</vt:lpwstr>
  </property>
</Properties>
</file>