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53597319"/>
      <w:bookmarkStart w:id="2" w:name="_Toc438987549"/>
      <w:bookmarkStart w:id="3" w:name="_Toc481801204"/>
      <w:bookmarkStart w:id="4" w:name="OLE_LINK15"/>
      <w:bookmarkStart w:id="5" w:name="_Toc415818939"/>
      <w:bookmarkStart w:id="6" w:name="OLE_LINK13"/>
      <w:bookmarkStart w:id="7" w:name="_Toc418070112"/>
      <w:bookmarkStart w:id="8" w:name="_Toc415143481"/>
      <w:bookmarkStart w:id="9" w:name="_Toc415142861"/>
      <w:bookmarkStart w:id="10" w:name="OLE_LINK40"/>
      <w:bookmarkStart w:id="11" w:name="OLE_LINK39"/>
      <w:bookmarkStart w:id="12" w:name="OLE_LINK24"/>
      <w:r>
        <w:rPr>
          <w:lang w:eastAsia="zh-CN"/>
        </w:rPr>
        <w:t>疫苗用细胞培养基</w:t>
      </w:r>
      <w:r>
        <w:rPr>
          <w:rFonts w:hint="eastAsia"/>
          <w:lang w:eastAsia="zh-CN"/>
        </w:rPr>
        <w:t>全球市场总体规模</w:t>
      </w:r>
    </w:p>
    <w:p w14:paraId="4D38E3C6">
      <w:pPr>
        <w:pStyle w:val="145"/>
        <w:rPr>
          <w:lang w:eastAsia="zh-CN"/>
        </w:rPr>
      </w:pPr>
      <w:r>
        <w:rPr>
          <w:rFonts w:hint="eastAsia"/>
          <w:lang w:eastAsia="zh-CN"/>
        </w:rPr>
        <w:t>据QYResearch调研团队最新报告“全球疫苗用细胞培养基市场报告2024-2030”显示，预计2030年全球疫苗用细胞培养基市场规模将达到17.9亿美元，未来几年年复合增长率CAGR为7.8%。</w:t>
      </w:r>
    </w:p>
    <w:p w14:paraId="3F6C2722">
      <w:pPr>
        <w:pStyle w:val="148"/>
        <w:rPr>
          <w:lang w:eastAsia="zh-CN"/>
        </w:rPr>
      </w:pPr>
      <w:r>
        <w:rPr>
          <w:lang w:eastAsia="zh-CN"/>
        </w:rPr>
        <w:t>疫苗用细胞培养基</w:t>
      </w:r>
      <w:r>
        <w:rPr>
          <w:rFonts w:hint="eastAsia"/>
          <w:lang w:eastAsia="zh-CN"/>
        </w:rPr>
        <w:t>，全球市场总体规模</w:t>
      </w:r>
    </w:p>
    <w:p w14:paraId="33261207">
      <w:pPr>
        <w:pStyle w:val="145"/>
      </w:pPr>
      <w:r>
        <w:drawing>
          <wp:inline distT="0" distB="0" distL="0" distR="0">
            <wp:extent cx="6188710" cy="3005455"/>
            <wp:effectExtent l="0" t="0" r="2540" b="44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48964BA">
      <w:pPr>
        <w:pStyle w:val="143"/>
        <w:rPr>
          <w:lang w:eastAsia="zh-CN"/>
        </w:rPr>
      </w:pPr>
      <w:r>
        <w:rPr>
          <w:rFonts w:hint="eastAsia"/>
          <w:lang w:eastAsia="zh-CN"/>
        </w:rPr>
        <w:t>如上图表/数据，摘自QYResearch最新报告“全球</w:t>
      </w:r>
      <w:r>
        <w:rPr>
          <w:lang w:eastAsia="zh-CN"/>
        </w:rPr>
        <w:t>疫苗用细胞培养基</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疫苗用细胞培养基</w:t>
      </w:r>
      <w:r>
        <w:rPr>
          <w:rFonts w:hint="eastAsia"/>
          <w:lang w:eastAsia="zh-CN"/>
        </w:rPr>
        <w:t>市场前</w:t>
      </w:r>
      <w:r>
        <w:rPr>
          <w:lang w:eastAsia="zh-CN"/>
        </w:rPr>
        <w:t>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3D0272A">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如上图表/数据，摘自QYResearch报告“全球</w:t>
      </w:r>
      <w:r>
        <w:rPr>
          <w:lang w:eastAsia="zh-CN"/>
        </w:rPr>
        <w:t>疫苗用细胞培养基</w:t>
      </w:r>
      <w:r>
        <w:rPr>
          <w:rFonts w:hint="eastAsia"/>
          <w:lang w:eastAsia="zh-CN"/>
        </w:rPr>
        <w:t>市场研究报告2024-2030”，排名基于2023数据。目前最新数据，以本公司最新调研数据为准。</w:t>
      </w:r>
    </w:p>
    <w:p w14:paraId="4D8D9F30">
      <w:pPr>
        <w:pStyle w:val="145"/>
        <w:rPr>
          <w:lang w:eastAsia="zh-CN"/>
        </w:rPr>
      </w:pPr>
      <w:r>
        <w:rPr>
          <w:rFonts w:hint="eastAsia"/>
          <w:lang w:eastAsia="zh-CN"/>
        </w:rPr>
        <w:t>根据QYResearch头部企业研究中心调研，全球范围内疫苗用细胞培养基生产商主要包括Thermo Fisher、Merck、Corning、Cytiva、Lonza、Fujifilm、Sartorius Stedim Biotech、HiMedia Laboratories、ProCellTM、Jianshun Biosicences等。2023年，全球前五大厂商占有大约68.0%的市场份额。</w:t>
      </w:r>
    </w:p>
    <w:p w14:paraId="464ECBA3">
      <w:pPr>
        <w:pStyle w:val="145"/>
        <w:rPr>
          <w:lang w:eastAsia="zh-CN"/>
        </w:rPr>
      </w:pPr>
      <w:r>
        <w:rPr>
          <w:rFonts w:hint="eastAsia"/>
          <w:lang w:eastAsia="zh-CN"/>
        </w:rPr>
        <w:t>全球疫苗细胞培养基市场受到预防传染病疫苗需求不断增长以及生物技术和制药行业增长的推动。与传统的基于鸡蛋的方法相比，基于细胞的疫苗生产方法具有更高的产量和安全性，这种转变极大地推动了市场增长。细胞培养技术的进步和疫苗研发投资的增加也促进了市场的扩大。然而，一个重大挑战是细胞培养基成本高昂，需要严格的质量控制和法规遵从性，以确保疫苗的安全性和有效性。此外，扩大生产流程和保持一致质量的复杂性可能会给市场参与者带来障碍。</w:t>
      </w:r>
    </w:p>
    <w:bookmarkEnd w:id="0"/>
    <w:bookmarkEnd w:id="1"/>
    <w:bookmarkEnd w:id="2"/>
    <w:bookmarkEnd w:id="3"/>
    <w:bookmarkEnd w:id="4"/>
    <w:bookmarkEnd w:id="5"/>
    <w:bookmarkEnd w:id="6"/>
    <w:bookmarkEnd w:id="7"/>
    <w:bookmarkEnd w:id="8"/>
    <w:bookmarkEnd w:id="9"/>
    <w:bookmarkEnd w:id="10"/>
    <w:bookmarkEnd w:id="11"/>
    <w:bookmarkEnd w:id="12"/>
    <w:p w14:paraId="4116935C">
      <w:pPr>
        <w:pStyle w:val="145"/>
        <w:rPr>
          <w:lang w:val="en-US" w:eastAsia="zh-CN"/>
        </w:rPr>
      </w:pPr>
      <w:bookmarkStart w:id="19" w:name="_GoBack"/>
      <w:bookmarkEnd w:id="19"/>
    </w:p>
    <w:p w14:paraId="05CB6500">
      <w:pPr>
        <w:pStyle w:val="145"/>
        <w:rPr>
          <w:lang w:eastAsia="zh-CN"/>
        </w:rPr>
      </w:pPr>
      <w:r>
        <w:rPr>
          <w:lang w:eastAsia="zh-CN"/>
        </w:rPr>
        <w:br w:type="page"/>
      </w:r>
    </w:p>
    <w:p w14:paraId="7559775F">
      <w:pPr>
        <w:pStyle w:val="167"/>
        <w:rPr>
          <w:lang w:eastAsia="zh-CN"/>
        </w:rPr>
      </w:pPr>
      <w:r>
        <w:rPr>
          <w:lang w:eastAsia="zh-CN"/>
        </w:rPr>
        <w:t>QYResearch</w:t>
      </w:r>
      <w:r>
        <w:rPr>
          <w:rFonts w:hint="eastAsia"/>
          <w:lang w:eastAsia="zh-CN"/>
        </w:rPr>
        <w:t>企业简介</w:t>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514D280">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74641357">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41AD">
    <w:pPr>
      <w:pStyle w:val="21"/>
      <w:jc w:val="center"/>
    </w:pPr>
    <w:bookmarkStart w:id="13" w:name="_Hlk149300687"/>
    <w:bookmarkStart w:id="14" w:name="_Hlk149300689"/>
    <w:bookmarkStart w:id="15" w:name="_Hlk149300688"/>
    <w:bookmarkStart w:id="16" w:name="_Hlk149300690"/>
    <w:bookmarkStart w:id="17" w:name="_Hlk149300691"/>
    <w:bookmarkStart w:id="18" w:name="_Hlk149300692"/>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F360">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77C6B204">
    <w:pPr>
      <w:pStyle w:val="22"/>
      <w:pBdr>
        <w:bottom w:val="none" w:color="auto" w:sz="0" w:space="0"/>
      </w:pBdr>
      <w:jc w:val="both"/>
    </w:pPr>
  </w:p>
  <w:p w14:paraId="1CA8454E">
    <w:pPr>
      <w:pStyle w:val="22"/>
      <w:pBdr>
        <w:bottom w:val="none" w:color="auto" w:sz="0" w:space="0"/>
      </w:pBdr>
      <w:jc w:val="both"/>
    </w:pPr>
  </w:p>
  <w:p w14:paraId="7E7792EE">
    <w:pPr>
      <w:pStyle w:val="22"/>
      <w:pBdr>
        <w:bottom w:val="none" w:color="auto" w:sz="0" w:space="0"/>
      </w:pBdr>
      <w:jc w:val="both"/>
    </w:pPr>
  </w:p>
  <w:p w14:paraId="3D55DE52">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603"/>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40"/>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738"/>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679"/>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78"/>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07F"/>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01"/>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36"/>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47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0FF"/>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49F"/>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6B"/>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0B1"/>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970"/>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4D10"/>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4FD8"/>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E81"/>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6EC6"/>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44E"/>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843"/>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AF5"/>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0E9"/>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A6C"/>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428"/>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561"/>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73E2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E:\&#21327;&#21161;&#24352;&#32918;\202405%20&#25490;&#21517;&#25991;&#20214;\&#26080;&#21019;&#34880;&#31958;&#30417;&#27979;&#35774;&#22791;\&#35266;&#28857;&#25968;&#25454;&#22270;&#34920;&#27169;&#26495;-&#27169;&#26495;%202024040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1327;&#21161;&#24352;&#32918;\202405%20&#25490;&#21517;&#25991;&#20214;\&#26080;&#21019;&#34880;&#31958;&#30417;&#27979;&#35774;&#22791;\&#35266;&#28857;&#25968;&#25454;&#22270;&#34920;&#27169;&#26495;-&#27169;&#26495;%202024040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101820801093785"/>
          <c:y val="0.0743906508300871"/>
          <c:w val="0.845512387307458"/>
          <c:h val="0.794607567572072"/>
        </c:manualLayout>
      </c:layout>
      <c:barChart>
        <c:barDir val="col"/>
        <c:grouping val="clustered"/>
        <c:varyColors val="0"/>
        <c:ser>
          <c:idx val="0"/>
          <c:order val="0"/>
          <c:tx>
            <c:strRef>
              <c:f>全球总体!$A$12</c:f>
              <c:strCache>
                <c:ptCount val="1"/>
                <c:pt idx="0">
                  <c:v>全球规模（百万美元</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delete val="1"/>
          </c:dLbls>
          <c:cat>
            <c:numRef>
              <c:f>全球总体!$B$7:$M$7</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全球总体!$B$12:$M$12</c:f>
              <c:numCache>
                <c:formatCode>#,##0_ </c:formatCode>
                <c:ptCount val="12"/>
                <c:pt idx="0">
                  <c:v>739.77</c:v>
                </c:pt>
                <c:pt idx="1">
                  <c:v>809.7</c:v>
                </c:pt>
                <c:pt idx="2">
                  <c:v>915.27</c:v>
                </c:pt>
                <c:pt idx="3">
                  <c:v>991.88</c:v>
                </c:pt>
                <c:pt idx="4">
                  <c:v>1066.87</c:v>
                </c:pt>
                <c:pt idx="5">
                  <c:v>1144.22</c:v>
                </c:pt>
                <c:pt idx="6">
                  <c:v>1226.26</c:v>
                </c:pt>
                <c:pt idx="7">
                  <c:v>1319.82</c:v>
                </c:pt>
                <c:pt idx="8">
                  <c:v>1415</c:v>
                </c:pt>
                <c:pt idx="9">
                  <c:v>1523</c:v>
                </c:pt>
                <c:pt idx="10">
                  <c:v>1654</c:v>
                </c:pt>
                <c:pt idx="11">
                  <c:v>1788</c:v>
                </c:pt>
              </c:numCache>
            </c:numRef>
          </c:val>
        </c:ser>
        <c:dLbls>
          <c:showLegendKey val="0"/>
          <c:showVal val="0"/>
          <c:showCatName val="0"/>
          <c:showSerName val="0"/>
          <c:showPercent val="0"/>
          <c:showBubbleSize val="0"/>
        </c:dLbls>
        <c:gapWidth val="25"/>
        <c:axId val="-1322419456"/>
        <c:axId val="-1322431424"/>
      </c:barChart>
      <c:lineChart>
        <c:grouping val="stacked"/>
        <c:varyColors val="0"/>
        <c:ser>
          <c:idx val="1"/>
          <c:order val="1"/>
          <c:tx>
            <c:strRef>
              <c:f>全球总体!$A$13</c:f>
              <c:strCache>
                <c:ptCount val="1"/>
                <c:pt idx="0">
                  <c:v>增速</c:v>
                </c:pt>
              </c:strCache>
            </c:strRef>
          </c:tx>
          <c:spPr>
            <a:ln w="25400" cap="rnd" cmpd="sng" algn="ctr">
              <a:solidFill>
                <a:srgbClr val="FFC000"/>
              </a:solidFill>
              <a:prstDash val="solid"/>
              <a:round/>
            </a:ln>
          </c:spPr>
          <c:marker>
            <c:symbol val="circle"/>
            <c:size val="32"/>
            <c:spPr>
              <a:solidFill>
                <a:schemeClr val="bg1">
                  <a:lumMod val="50000"/>
                </a:schemeClr>
              </a:solidFill>
              <a:ln w="6350" cap="flat" cmpd="sng" algn="ctr">
                <a:solidFill>
                  <a:schemeClr val="bg1"/>
                </a:solidFill>
                <a:prstDash val="solid"/>
                <a:round/>
              </a:ln>
            </c:spPr>
          </c:marker>
          <c:dLbls>
            <c:numFmt formatCode="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bg1">
                        <a:lumMod val="95000"/>
                      </a:schemeClr>
                    </a:solidFill>
                    <a:latin typeface="Times New Roman" panose="02020603050405020304" charset="0"/>
                    <a:ea typeface="宋体" panose="02010600030101010101"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全球总体!$B$7:$M$7</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全球总体!$B$13:$M$13</c:f>
              <c:numCache>
                <c:formatCode>0.0%</c:formatCode>
                <c:ptCount val="12"/>
                <c:pt idx="0">
                  <c:v>0.102422584046393</c:v>
                </c:pt>
                <c:pt idx="1">
                  <c:v>0.0945293807534773</c:v>
                </c:pt>
                <c:pt idx="2">
                  <c:v>0.130381622823268</c:v>
                </c:pt>
                <c:pt idx="3">
                  <c:v>0.0837020769827483</c:v>
                </c:pt>
                <c:pt idx="4">
                  <c:v>0.0756039036980278</c:v>
                </c:pt>
                <c:pt idx="5">
                  <c:v>0.0725018043435472</c:v>
                </c:pt>
                <c:pt idx="6">
                  <c:v>0.0716994983482198</c:v>
                </c:pt>
                <c:pt idx="7">
                  <c:v>0.0762970332555901</c:v>
                </c:pt>
                <c:pt idx="8">
                  <c:v>0.0721158945916869</c:v>
                </c:pt>
                <c:pt idx="9">
                  <c:v>0.0763250883392226</c:v>
                </c:pt>
                <c:pt idx="10">
                  <c:v>0.0860144451739986</c:v>
                </c:pt>
                <c:pt idx="11">
                  <c:v>0.0810157194679564</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0_ " sourceLinked="1"/>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29792"/>
        <c:crosses val="max"/>
        <c:crossBetween val="between"/>
      </c:valAx>
      <c:spPr>
        <a:ln>
          <a:noFill/>
        </a:ln>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legend>
    <c:plotVisOnly val="1"/>
    <c:dispBlanksAs val="gap"/>
    <c:showDLblsOverMax val="0"/>
  </c:chart>
  <c:spPr>
    <a:ln w="6350" cap="flat" cmpd="sng" algn="ctr">
      <a:noFill/>
      <a:prstDash val="solid"/>
      <a:round/>
    </a:ln>
  </c:spPr>
  <c:txPr>
    <a:bodyPr/>
    <a:lstStyle/>
    <a:p>
      <a:pPr>
        <a:defRPr lang="zh-CN" baseline="0">
          <a:latin typeface="Times New Roman" panose="02020603050405020304" charset="0"/>
          <a:ea typeface="宋体" panose="02010600030101010101" charset="-122"/>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企业收入!$H$2:$H$21</c:f>
              <c:strCache>
                <c:ptCount val="11"/>
                <c:pt idx="0">
                  <c:v>Thermo Fisher</c:v>
                </c:pt>
                <c:pt idx="1">
                  <c:v>Merck</c:v>
                </c:pt>
                <c:pt idx="2">
                  <c:v>Corning</c:v>
                </c:pt>
                <c:pt idx="3">
                  <c:v>Cytiva</c:v>
                </c:pt>
                <c:pt idx="4">
                  <c:v>Lonza</c:v>
                </c:pt>
                <c:pt idx="5">
                  <c:v>Fujifilm</c:v>
                </c:pt>
                <c:pt idx="6">
                  <c:v>Sartorius Stedim Biotech</c:v>
                </c:pt>
                <c:pt idx="7">
                  <c:v>HiMedia Laboratories</c:v>
                </c:pt>
                <c:pt idx="8">
                  <c:v>ProCellTM</c:v>
                </c:pt>
                <c:pt idx="9">
                  <c:v>Jianshun Biosicences</c:v>
                </c:pt>
                <c:pt idx="10">
                  <c:v>Shanghai OPM Biosciences</c:v>
                </c:pt>
              </c:strCache>
            </c:strRef>
          </c:cat>
          <c:val>
            <c:numRef>
              <c:f>企业收入!$I$2:$I$21</c:f>
              <c:numCache>
                <c:formatCode>0.0%</c:formatCode>
                <c:ptCount val="11"/>
                <c:pt idx="0">
                  <c:v>0.218602078978695</c:v>
                </c:pt>
                <c:pt idx="1">
                  <c:v>0.168914675639956</c:v>
                </c:pt>
                <c:pt idx="2">
                  <c:v>0.121101914947463</c:v>
                </c:pt>
                <c:pt idx="3">
                  <c:v>0.117090179684498</c:v>
                </c:pt>
                <c:pt idx="4">
                  <c:v>0.0518619888083834</c:v>
                </c:pt>
                <c:pt idx="5">
                  <c:v>0.048881307000853</c:v>
                </c:pt>
                <c:pt idx="6">
                  <c:v>0.0143410162437785</c:v>
                </c:pt>
                <c:pt idx="7">
                  <c:v>0.0127756896341635</c:v>
                </c:pt>
                <c:pt idx="8">
                  <c:v>0.0131037520972565</c:v>
                </c:pt>
                <c:pt idx="9">
                  <c:v>0.00573640649751141</c:v>
                </c:pt>
                <c:pt idx="10">
                  <c:v>0.00184652300655188</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9874BF-895F-475E-A591-E7FDE6C35D0C}">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1124</Words>
  <Characters>1389</Characters>
  <Lines>10</Lines>
  <Paragraphs>2</Paragraphs>
  <TotalTime>653</TotalTime>
  <ScaleCrop>false</ScaleCrop>
  <LinksUpToDate>false</LinksUpToDate>
  <CharactersWithSpaces>1399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2024-06-03T08:02:58Z</dcterms:modified>
  <cp:revision>831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00A147FB528946F2AF6B45F1C9388CB2_13</vt:lpwstr>
  </property>
</Properties>
</file>