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438987549"/>
      <w:bookmarkStart w:id="2" w:name="_Toc481801204"/>
      <w:bookmarkStart w:id="3" w:name="_Toc517262917"/>
      <w:bookmarkStart w:id="4" w:name="_Toc453597319"/>
      <w:bookmarkStart w:id="5" w:name="OLE_LINK15"/>
      <w:bookmarkStart w:id="6" w:name="OLE_LINK13"/>
      <w:bookmarkStart w:id="7" w:name="_Toc415818939"/>
      <w:bookmarkStart w:id="8" w:name="_Toc415143481"/>
      <w:bookmarkStart w:id="9" w:name="_Toc418070112"/>
      <w:bookmarkStart w:id="10" w:name="_Toc415142861"/>
      <w:bookmarkStart w:id="11" w:name="OLE_LINK40"/>
      <w:bookmarkStart w:id="12" w:name="OLE_LINK39"/>
      <w:bookmarkStart w:id="13" w:name="OLE_LINK24"/>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纳秒光纤激光器</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纳秒光纤激光器</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rFonts w:hint="eastAsia"/>
          <w:lang w:eastAsia="zh-CN"/>
        </w:rPr>
        <w:t>纳秒光纤激光器全球市场总体规模</w:t>
      </w:r>
    </w:p>
    <w:p>
      <w:pPr>
        <w:pStyle w:val="145"/>
        <w:rPr>
          <w:color w:val="0D0D0D" w:themeColor="text1" w:themeTint="F2"/>
          <w:lang w:eastAsia="zh-CN"/>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drawing>
          <wp:inline distT="0" distB="0" distL="0" distR="0">
            <wp:extent cx="2827020" cy="2263775"/>
            <wp:effectExtent l="0" t="0" r="12065" b="0"/>
            <wp:docPr id="75" name="图片 75" descr="Nanosecond Pulsed Fiber Laser | IPG Photon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Nanosecond Pulsed Fiber Laser | IPG Photonic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834742" cy="2270059"/>
                    </a:xfrm>
                    <a:prstGeom prst="rect">
                      <a:avLst/>
                    </a:prstGeom>
                    <a:noFill/>
                    <a:ln>
                      <a:noFill/>
                    </a:ln>
                  </pic:spPr>
                </pic:pic>
              </a:graphicData>
            </a:graphic>
          </wp:inline>
        </w:drawing>
      </w:r>
    </w:p>
    <w:p>
      <w:pPr>
        <w:pStyle w:val="145"/>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据QYResearch调研团队最新报告“全球纳秒光纤激光器市场报告2023-2029”显示，预计2029年全球纳秒光纤激光器市场规模将达到7.3亿美元，未来几年年复合增长率CAGR为11.5%。</w:t>
      </w:r>
    </w:p>
    <w:p>
      <w:pPr>
        <w:pStyle w:val="145"/>
        <w:rPr>
          <w:color w:val="0D0D0D" w:themeColor="text1" w:themeTint="F2"/>
          <w:lang w:eastAsia="zh-CN"/>
          <w14:textFill>
            <w14:solidFill>
              <w14:schemeClr w14:val="tx1">
                <w14:lumMod w14:val="95000"/>
                <w14:lumOff w14:val="5000"/>
              </w14:schemeClr>
            </w14:solidFill>
          </w14:textFill>
        </w:rPr>
      </w:pPr>
    </w:p>
    <w:p>
      <w:pPr>
        <w:pStyle w:val="148"/>
        <w:rPr>
          <w:lang w:eastAsia="zh-CN"/>
        </w:rPr>
      </w:pPr>
      <w:r>
        <w:rPr>
          <w:rFonts w:hint="eastAsia"/>
          <w:lang w:eastAsia="zh-CN"/>
        </w:rPr>
        <w:t>纳秒光纤激光器，全球市场总体规模，预计2</w:t>
      </w:r>
      <w:r>
        <w:rPr>
          <w:lang w:eastAsia="zh-CN"/>
        </w:rPr>
        <w:t>029</w:t>
      </w:r>
      <w:r>
        <w:rPr>
          <w:rFonts w:hint="eastAsia"/>
          <w:lang w:eastAsia="zh-CN"/>
        </w:rPr>
        <w:t>年达到7.3亿美元</w:t>
      </w:r>
    </w:p>
    <w:p>
      <w:pPr>
        <w:pStyle w:val="145"/>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drawing>
          <wp:inline distT="0" distB="0" distL="114300" distR="114300">
            <wp:extent cx="6188075" cy="2836545"/>
            <wp:effectExtent l="0" t="0" r="3175" b="19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如上图表/数据，摘自QYResearch最新报告“全球纳秒光纤激光器市场研究报告2023-2029</w:t>
      </w:r>
      <w:r>
        <w:rPr>
          <w:color w:val="0D0D0D" w:themeColor="text1" w:themeTint="F2"/>
          <w:lang w:eastAsia="zh-CN"/>
          <w14:textFill>
            <w14:solidFill>
              <w14:schemeClr w14:val="tx1">
                <w14:lumMod w14:val="95000"/>
                <w14:lumOff w14:val="5000"/>
              </w14:schemeClr>
            </w14:solidFill>
          </w14:textFill>
        </w:rPr>
        <w:t>.</w:t>
      </w:r>
    </w:p>
    <w:p>
      <w:pPr>
        <w:pStyle w:val="145"/>
        <w:rPr>
          <w:color w:val="0D0D0D" w:themeColor="text1" w:themeTint="F2"/>
          <w:lang w:eastAsia="zh-CN"/>
          <w14:textFill>
            <w14:solidFill>
              <w14:schemeClr w14:val="tx1">
                <w14:lumMod w14:val="95000"/>
                <w14:lumOff w14:val="5000"/>
              </w14:schemeClr>
            </w14:solidFill>
          </w14:textFill>
        </w:rPr>
      </w:pPr>
    </w:p>
    <w:p>
      <w:pPr>
        <w:pStyle w:val="148"/>
        <w:rPr>
          <w:lang w:eastAsia="zh-CN"/>
        </w:rPr>
      </w:pPr>
      <w:r>
        <w:rPr>
          <w:rFonts w:hint="eastAsia"/>
          <w:lang w:eastAsia="zh-CN"/>
        </w:rPr>
        <w:t>全球纳秒光纤激光器市场前8强生产商排名及市场占有率（持续更新）</w:t>
      </w:r>
    </w:p>
    <w:p>
      <w:pPr>
        <w:pStyle w:val="145"/>
        <w:jc w:val="center"/>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drawing>
          <wp:inline distT="0" distB="0" distL="114300" distR="114300">
            <wp:extent cx="4838700" cy="4399915"/>
            <wp:effectExtent l="0" t="0" r="0" b="63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如上图表/数据，摘自QYResearch最新报告“全球纳秒光纤激光器市场研究报告2023-2029</w:t>
      </w:r>
      <w:r>
        <w:rPr>
          <w:color w:val="0D0D0D" w:themeColor="text1" w:themeTint="F2"/>
          <w:lang w:eastAsia="zh-CN"/>
          <w14:textFill>
            <w14:solidFill>
              <w14:schemeClr w14:val="tx1">
                <w14:lumMod w14:val="95000"/>
                <w14:lumOff w14:val="5000"/>
              </w14:schemeClr>
            </w14:solidFill>
          </w14:textFill>
        </w:rPr>
        <w:t>.</w:t>
      </w:r>
    </w:p>
    <w:p>
      <w:pPr>
        <w:pStyle w:val="145"/>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全球范围内，纳秒光纤激光器主要生产商包括Jenoptik、Wuhan Raycus、JPT Opto-electronics、MPB Communications</w:t>
      </w:r>
      <w:r>
        <w:rPr>
          <w:rFonts w:hint="eastAsia"/>
          <w:color w:val="0D0D0D" w:themeColor="text1" w:themeTint="F2"/>
          <w:lang w:val="en-US" w:eastAsia="zh-CN"/>
          <w14:textFill>
            <w14:solidFill>
              <w14:schemeClr w14:val="tx1">
                <w14:lumMod w14:val="95000"/>
                <w14:lumOff w14:val="5000"/>
              </w14:schemeClr>
            </w14:solidFill>
          </w14:textFill>
        </w:rPr>
        <w:t>和</w:t>
      </w:r>
      <w:r>
        <w:rPr>
          <w:rFonts w:hint="eastAsia"/>
          <w:color w:val="0D0D0D" w:themeColor="text1" w:themeTint="F2"/>
          <w:lang w:eastAsia="zh-CN"/>
          <w14:textFill>
            <w14:solidFill>
              <w14:schemeClr w14:val="tx1">
                <w14:lumMod w14:val="95000"/>
                <w14:lumOff w14:val="5000"/>
              </w14:schemeClr>
            </w14:solidFill>
          </w14:textFill>
        </w:rPr>
        <w:t>Amonics等，其中前五大厂商占有大约</w:t>
      </w:r>
      <w:r>
        <w:rPr>
          <w:rFonts w:hint="eastAsia"/>
          <w:color w:val="0D0D0D" w:themeColor="text1" w:themeTint="F2"/>
          <w:lang w:val="en-US" w:eastAsia="zh-CN"/>
          <w14:textFill>
            <w14:solidFill>
              <w14:schemeClr w14:val="tx1">
                <w14:lumMod w14:val="95000"/>
                <w14:lumOff w14:val="5000"/>
              </w14:schemeClr>
            </w14:solidFill>
          </w14:textFill>
        </w:rPr>
        <w:t>60%</w:t>
      </w:r>
      <w:r>
        <w:rPr>
          <w:rFonts w:hint="eastAsia"/>
          <w:color w:val="0D0D0D" w:themeColor="text1" w:themeTint="F2"/>
          <w:lang w:eastAsia="zh-CN"/>
          <w14:textFill>
            <w14:solidFill>
              <w14:schemeClr w14:val="tx1">
                <w14:lumMod w14:val="95000"/>
                <w14:lumOff w14:val="5000"/>
              </w14:schemeClr>
            </w14:solidFill>
          </w14:textFill>
        </w:rPr>
        <w:t>的市场份额。</w:t>
      </w:r>
    </w:p>
    <w:p>
      <w:pPr>
        <w:pStyle w:val="145"/>
        <w:rPr>
          <w:color w:val="0D0D0D" w:themeColor="text1" w:themeTint="F2"/>
          <w14:textFill>
            <w14:solidFill>
              <w14:schemeClr w14:val="tx1">
                <w14:lumMod w14:val="95000"/>
                <w14:lumOff w14:val="5000"/>
              </w14:schemeClr>
            </w14:solidFill>
          </w14:textFill>
        </w:rPr>
      </w:pPr>
    </w:p>
    <w:p>
      <w:pPr>
        <w:pStyle w:val="145"/>
        <w:rPr>
          <w:color w:val="0D0D0D" w:themeColor="text1" w:themeTint="F2"/>
          <w14:textFill>
            <w14:solidFill>
              <w14:schemeClr w14:val="tx1">
                <w14:lumMod w14:val="95000"/>
                <w14:lumOff w14:val="5000"/>
              </w14:schemeClr>
            </w14:solidFill>
          </w14:textFill>
        </w:rPr>
      </w:pPr>
    </w:p>
    <w:p>
      <w:pPr>
        <w:pStyle w:val="145"/>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rPr>
          <w:lang w:eastAsia="zh-CN"/>
        </w:rPr>
      </w:pPr>
      <w:r>
        <w:rPr>
          <w:rFonts w:hint="eastAsia"/>
          <w:lang w:eastAsia="zh-CN"/>
        </w:rPr>
        <w:t>2023年全球纳秒光纤激光器行业总体规模、主要企业国内外市场占有率及排名</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根据研究团队调研统计，2022年全球纳秒光纤激光器市场销售额达到了20亿元，预计2029年将达到46亿元，年复合增长率（CAGR）为12.3%（2023-2029）。中国市场在过去几年变化较快，2022年市场规模为 亿元，约占全球的 %，预计2029年将达到 亿元，届时全球占比将达到 %。</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全球纳秒光纤激光器（Nanosecond Fiber Lasers）的核心厂商包括Trumpf、IPG光子和新港等，前三大厂商约占55%的份额。亚太是全球最大的市场，占有大约43%的市场份额，之后是欧洲和北美，分别占比约28%和26%。</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从产品角度来看，功率小于30瓦的产品为最大细分，市场份额约为81%。从应用方面来看，材料加工是最大下游市场，约占60%的份额。</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侧重研究全球纳秒光纤激光器总体规模及主要厂商占有率和排名，主要统计指标包括纳秒光纤激光器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本文主要企业名单如下，也可根据客户要求增加目标企业：</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Trumpf</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IPG光子</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新港</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Jenoptik</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Wuhan Raycus</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JPT Opto-electronics</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MPB Communications</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Amonics</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按照不同功率，包括如下几个类别：</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小于30瓦</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30瓦到100瓦</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大于100瓦</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材料加工</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微电子行业</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医疗行业</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其他</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重点关注如下几个地区</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北美</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欧洲</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    中国</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本文正文共10章，各章节主要内容如下：</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第1章：报告统计范围、所属行业、产品细分及主要的下游市场，行业现状及进入壁垒等</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第2章：国内外主要企业市场占有率及排名</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第3章：全球总体规模（产能、产量、销量、需求量、销售收入等数据，2018-2029年）</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第4章：全球纳秒光纤激光器主要地区分析，包括销量、销售收入等</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第5章：全球纳秒光纤激光器主要厂商基本情况介绍，包括公司简介、纳秒光纤激光器产品型号、销量、收入、价格及最新动态等</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第6章：全球不同功率纳秒光纤激光器销量、收入、价格及份额等</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第7章：全球不同应用纳秒光纤激光器销量、收入、价格及份额等</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第8章：行业发展趋势、驱动因素、行业政策等</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第9章：产业链、上下游分析、生产模式、销售，模式及销售渠道分析等</w:t>
      </w:r>
    </w:p>
    <w:p>
      <w:pPr>
        <w:pStyle w:val="145"/>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第10章：报告结论</w:t>
      </w:r>
    </w:p>
    <w:p>
      <w:pPr>
        <w:pStyle w:val="145"/>
        <w:rPr>
          <w:rFonts w:hint="eastAsia"/>
          <w:color w:val="0D0D0D" w:themeColor="text1" w:themeTint="F2"/>
          <w:lang w:eastAsia="zh-CN"/>
          <w14:textFill>
            <w14:solidFill>
              <w14:schemeClr w14:val="tx1">
                <w14:lumMod w14:val="95000"/>
                <w14:lumOff w14:val="5000"/>
              </w14:schemeClr>
            </w14:solidFill>
          </w14:textFill>
        </w:rPr>
      </w:pPr>
      <w:bookmarkStart w:id="14" w:name="_GoBack"/>
      <w:bookmarkEnd w:id="14"/>
    </w:p>
    <w:sectPr>
      <w:pgSz w:w="11906" w:h="16838"/>
      <w:pgMar w:top="1440" w:right="1080" w:bottom="1440" w:left="1080"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0000009F"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E0"/>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32C"/>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CFC"/>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5246739"/>
    <w:rsid w:val="6C306D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标题1"/>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清单表 2 - 着色 41"/>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清单表 2 - 着色 21"/>
    <w:basedOn w:val="34"/>
    <w:qFormat/>
    <w:uiPriority w:val="47"/>
    <w:rPr>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sz w:val="22"/>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清单表 2 - 着色 51"/>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5%20&#23454;&#20064;&#21516;&#23398;%20-%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38379;&#27901;&#23431;\&#35266;&#28857;&#25968;&#25454;&#22270;&#34920;&#27169;&#26495;-&#20840;&#29699;20230919%20&#23454;&#20064;&#21516;&#23398;%20-%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世界市场规模 </a:t>
            </a:r>
            <a:r>
              <a:rPr lang="en-US" altLang="zh-CN" sz="1100">
                <a:latin typeface="Book Antiqua" panose="02040602050305030304" pitchFamily="1" charset="0"/>
              </a:rPr>
              <a:t>(</a:t>
            </a:r>
            <a:r>
              <a:rPr lang="zh-CN" altLang="en-US" sz="1100">
                <a:latin typeface="Book Antiqua" panose="02040602050305030304" pitchFamily="1" charset="0"/>
              </a:rPr>
              <a:t>百万美元</a:t>
            </a:r>
            <a:r>
              <a:rPr lang="en-US" altLang="zh-CN" sz="1100">
                <a:latin typeface="Book Antiqua" panose="02040602050305030304" pitchFamily="1" charset="0"/>
              </a:rPr>
              <a:t>)</a:t>
            </a:r>
            <a:endParaRPr lang="en-US" altLang="zh-CN" sz="1100">
              <a:latin typeface="Book Antiqua" panose="02040602050305030304" pitchFamily="1" charset="0"/>
            </a:endParaRPr>
          </a:p>
        </c:rich>
      </c:tx>
      <c:layout>
        <c:manualLayout>
          <c:xMode val="edge"/>
          <c:yMode val="edge"/>
          <c:x val="0.385989010989011"/>
          <c:y val="0.0249014318323304"/>
        </c:manualLayout>
      </c:layout>
      <c:overlay val="0"/>
      <c:spPr>
        <a:noFill/>
        <a:ln>
          <a:noFill/>
        </a:ln>
        <a:effectLst/>
      </c:spPr>
    </c:title>
    <c:autoTitleDeleted val="0"/>
    <c:plotArea>
      <c:layout>
        <c:manualLayout>
          <c:layoutTarget val="inner"/>
          <c:xMode val="edge"/>
          <c:yMode val="edge"/>
          <c:x val="0.0207440541023749"/>
          <c:y val="0.0927578335754306"/>
          <c:w val="0.958321492848347"/>
          <c:h val="0.755426437020129"/>
        </c:manualLayout>
      </c:layout>
      <c:barChart>
        <c:barDir val="col"/>
        <c:grouping val="clustered"/>
        <c:varyColors val="0"/>
        <c:ser>
          <c:idx val="0"/>
          <c:order val="0"/>
          <c:tx>
            <c:strRef>
              <c:f>'[观点数据图表模板-全球20230925 实习同学 - 为准.xlsx]全球总体'!$A$22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'[观点数据图表模板-全球20230925 实习同学 - 为准.xlsx]全球总体'!$B$21:$D$21</c:f>
              <c:numCache>
                <c:formatCode>General</c:formatCode>
                <c:ptCount val="3"/>
                <c:pt idx="0">
                  <c:v>2018</c:v>
                </c:pt>
                <c:pt idx="1">
                  <c:v>2022</c:v>
                </c:pt>
                <c:pt idx="2">
                  <c:v>2029</c:v>
                </c:pt>
              </c:numCache>
            </c:numRef>
          </c:cat>
          <c:val>
            <c:numRef>
              <c:f>'[观点数据图表模板-全球20230925 实习同学 - 为准.xlsx]全球总体'!$B$22:$D$22</c:f>
              <c:numCache>
                <c:formatCode>#,##0_ </c:formatCode>
                <c:ptCount val="3"/>
                <c:pt idx="0">
                  <c:v>292.09</c:v>
                </c:pt>
                <c:pt idx="1">
                  <c:v>334.66</c:v>
                </c:pt>
                <c:pt idx="2">
                  <c:v>730.11</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100">
                <a:latin typeface="Book Antiqua" panose="02040602050305030304" pitchFamily="1" charset="0"/>
              </a:rPr>
              <a:t>Global Major Players and Ranking</a:t>
            </a:r>
            <a:endParaRPr lang="en-US" altLang="zh-CN" sz="1100">
              <a:latin typeface="Book Antiqua" panose="02040602050305030304" pitchFamily="1" charset="0"/>
            </a:endParaRPr>
          </a:p>
        </c:rich>
      </c:tx>
      <c:layout>
        <c:manualLayout>
          <c:xMode val="edge"/>
          <c:yMode val="edge"/>
          <c:x val="0.184798556430446"/>
          <c:y val="0.0317460750307235"/>
        </c:manualLayout>
      </c:layout>
      <c:overlay val="0"/>
      <c:spPr>
        <a:noFill/>
        <a:ln>
          <a:noFill/>
        </a:ln>
        <a:effectLst/>
      </c:spPr>
    </c:title>
    <c:autoTitleDeleted val="0"/>
    <c:plotArea>
      <c:layout>
        <c:manualLayout>
          <c:layoutTarget val="inner"/>
          <c:xMode val="edge"/>
          <c:yMode val="edge"/>
          <c:x val="0.437349081364829"/>
          <c:y val="0.100288912671652"/>
          <c:w val="0.539685039370079"/>
          <c:h val="0.867965367965368"/>
        </c:manualLayout>
      </c:layout>
      <c:barChart>
        <c:barDir val="bar"/>
        <c:grouping val="clustered"/>
        <c:varyColors val="1"/>
        <c:ser>
          <c:idx val="0"/>
          <c:order val="0"/>
          <c:tx>
            <c:strRef>
              <c:f>'[观点数据图表模板-全球20230919 实习同学 - 为准.xlsx]企业排序'!$E$1</c:f>
              <c:strCache>
                <c:ptCount val="1"/>
                <c:pt idx="0">
                  <c:v>2021</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Lbls>
            <c:delete val="1"/>
          </c:dLbls>
          <c:cat>
            <c:strRef>
              <c:f>'[观点数据图表模板-全球20230919 实习同学 - 为准.xlsx]企业排序'!$C$2:$C$9</c:f>
              <c:strCache>
                <c:ptCount val="8"/>
                <c:pt idx="0">
                  <c:v>Trumpf</c:v>
                </c:pt>
                <c:pt idx="1">
                  <c:v>IPG Photonics</c:v>
                </c:pt>
                <c:pt idx="2">
                  <c:v>Newport</c:v>
                </c:pt>
                <c:pt idx="3">
                  <c:v>Jenoptik</c:v>
                </c:pt>
                <c:pt idx="4">
                  <c:v>Wuhan Raycus</c:v>
                </c:pt>
                <c:pt idx="5">
                  <c:v>JPT Opto-electronics</c:v>
                </c:pt>
                <c:pt idx="6">
                  <c:v>MPB Communications</c:v>
                </c:pt>
                <c:pt idx="7">
                  <c:v>Amonics</c:v>
                </c:pt>
              </c:strCache>
            </c:strRef>
          </c:cat>
          <c:val>
            <c:numRef>
              <c:f>'[观点数据图表模板-全球20230919 实习同学 - 为准.xlsx]企业排序'!$E$2:$E$9</c:f>
              <c:numCache>
                <c:formatCode>#,##0.00_ </c:formatCode>
                <c:ptCount val="8"/>
                <c:pt idx="0">
                  <c:v>75.9</c:v>
                </c:pt>
                <c:pt idx="1">
                  <c:v>109.5</c:v>
                </c:pt>
                <c:pt idx="2">
                  <c:v>255.1</c:v>
                </c:pt>
                <c:pt idx="3">
                  <c:v>445</c:v>
                </c:pt>
                <c:pt idx="4">
                  <c:v>471.4</c:v>
                </c:pt>
                <c:pt idx="5" c:formatCode="General">
                  <c:v>528.4</c:v>
                </c:pt>
                <c:pt idx="6">
                  <c:v>542.2</c:v>
                </c:pt>
                <c:pt idx="7">
                  <c:v>1223.1</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0.56029</cdr:x>
      <cdr:y>0.17797</cdr:y>
    </cdr:from>
    <cdr:to>
      <cdr:x>0.75115</cdr:x>
      <cdr:y>0.50369</cdr:y>
    </cdr:to>
    <cdr:grpSp>
      <cdr:nvGrpSpPr>
        <cdr:cNvPr id="2" name="组合 1"/>
        <cdr:cNvGrpSpPr/>
      </cdr:nvGrpSpPr>
      <cdr:grpSpPr xmlns:a="http://schemas.openxmlformats.org/drawingml/2006/main">
        <a:xfrm>
          <a:off x="3467117" y="504820"/>
          <a:ext cx="1181056" cy="923919"/>
          <a:chOff x="2788829" y="1511664"/>
          <a:chExt cx="939577" cy="469322"/>
        </a:xfrm>
        <a:solidFill>
          <a:srgbClr val="FFC000"/>
        </a:solidFill>
      </cdr:grpSpPr>
      <cdr:cxnSp>
        <cdr:nvCxnSpPr>
          <cdr:cNvPr id="3" name="直接箭头连接符 2"/>
          <cdr:cNvCxnSpPr/>
        </cdr:nvCxnSpPr>
        <cdr:spPr xmlns:a="http://schemas.openxmlformats.org/drawingml/2006/main">
          <a:xfrm xmlns:a="http://schemas.openxmlformats.org/drawingml/2006/main" flipV="1">
            <a:off x="2788829" y="1511664"/>
            <a:ext cx="939577" cy="469322"/>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837319">
            <a:off x="3106211" y="1569822"/>
            <a:ext cx="343249" cy="317577"/>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11.5%</a:t>
            </a:r>
            <a:endParaRPr 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0.25199</cdr:x>
      <cdr:y>0.36688</cdr:y>
    </cdr:from>
    <cdr:to>
      <cdr:x>0.42412</cdr:x>
      <cdr:y>0.67732</cdr:y>
    </cdr:to>
    <cdr:grpSp>
      <cdr:nvGrpSpPr>
        <cdr:cNvPr id="5" name="组合 4"/>
        <cdr:cNvGrpSpPr/>
      </cdr:nvGrpSpPr>
      <cdr:grpSpPr xmlns:a="http://schemas.openxmlformats.org/drawingml/2006/main">
        <a:xfrm rot="1929415">
          <a:off x="1559333" y="1040672"/>
          <a:ext cx="1065153" cy="880577"/>
          <a:chOff x="2688058" y="1128387"/>
          <a:chExt cx="1400842" cy="565768"/>
        </a:xfrm>
      </cdr:grpSpPr>
      <cdr:cxnSp>
        <cdr:nvCxnSpPr>
          <cdr:cNvPr id="6" name="直接箭头连接符 5"/>
          <cdr:cNvCxnSpPr/>
        </cdr:nvCxnSpPr>
        <cdr:spPr xmlns:a="http://schemas.openxmlformats.org/drawingml/2006/main">
          <a:xfrm xmlns:a="http://schemas.openxmlformats.org/drawingml/2006/main" flipV="1">
            <a:off x="2688058" y="1128387"/>
            <a:ext cx="1400842" cy="565768"/>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139998">
            <a:off x="2913754" y="1335167"/>
            <a:ext cx="695131" cy="205332"/>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3.5%</a:t>
            </a:r>
            <a:endParaRPr 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1</Pages>
  <Words>143</Words>
  <Characters>821</Characters>
  <Lines>6</Lines>
  <Paragraphs>1</Paragraphs>
  <TotalTime>0</TotalTime>
  <ScaleCrop>false</ScaleCrop>
  <LinksUpToDate>false</LinksUpToDate>
  <CharactersWithSpaces>963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2023-10-10T05:58:08Z</dcterms:modified>
  <cp:revision>789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7C80CF01370E4BB7885DB7634A82AFC4_12</vt:lpwstr>
  </property>
</Properties>
</file>