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10" w:x="6219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对外经济贸易大学保险学院</w:t>
      </w:r>
    </w:p>
    <w:p>
      <w:pPr>
        <w:framePr w:w="6210" w:x="6219" w:y="2000"/>
        <w:widowControl w:val="0"/>
        <w:autoSpaceDE w:val="0"/>
        <w:autoSpaceDN w:val="0"/>
        <w:spacing w:before="486" w:after="0" w:line="450" w:lineRule="exact"/>
        <w:ind w:left="22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《财政学》期末考试试题</w:t>
      </w:r>
    </w:p>
    <w:p>
      <w:pPr>
        <w:framePr w:w="900" w:x="9967" w:y="44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四</w:t>
      </w:r>
    </w:p>
    <w:p>
      <w:pPr>
        <w:framePr w:w="1328" w:x="2874" w:y="45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题号</w:t>
      </w:r>
    </w:p>
    <w:p>
      <w:pPr>
        <w:framePr w:w="1328" w:x="2874" w:y="4502"/>
        <w:widowControl w:val="0"/>
        <w:autoSpaceDE w:val="0"/>
        <w:autoSpaceDN w:val="0"/>
        <w:spacing w:before="454" w:after="0" w:line="360" w:lineRule="exact"/>
        <w:ind w:left="68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得分</w:t>
      </w:r>
    </w:p>
    <w:p>
      <w:pPr>
        <w:framePr w:w="900" w:x="4565" w:y="45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一</w:t>
      </w:r>
    </w:p>
    <w:p>
      <w:pPr>
        <w:framePr w:w="7159" w:x="2701" w:y="65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名词解释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（</w:t>
      </w:r>
      <w:r>
        <w:rPr>
          <w:rFonts w:ascii="HNGDIT+Nimbus Roman No9 L Medium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分，每个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HNGDIT+Nimbus Roman No9 L Medium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159" w:x="2701" w:y="65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、公共品的社会需求曲线</w:t>
      </w:r>
    </w:p>
    <w:p>
      <w:pPr>
        <w:framePr w:w="7159" w:x="2701" w:y="653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、瓦格纳法则</w:t>
      </w:r>
    </w:p>
    <w:p>
      <w:pPr>
        <w:framePr w:w="2880" w:x="2701" w:y="79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、购买性支出</w:t>
      </w:r>
    </w:p>
    <w:p>
      <w:pPr>
        <w:framePr w:w="2520" w:x="2701" w:y="84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、外部效应</w:t>
      </w:r>
    </w:p>
    <w:p>
      <w:pPr>
        <w:framePr w:w="3600" w:x="2701" w:y="88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、税收的超额负担</w:t>
      </w:r>
    </w:p>
    <w:p>
      <w:pPr>
        <w:framePr w:w="7991" w:x="2701" w:y="98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判断正误题</w:t>
      </w:r>
      <w:r>
        <w:rPr>
          <w:rFonts w:ascii="Times New Roman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（</w:t>
      </w:r>
      <w:r>
        <w:rPr>
          <w:rFonts w:ascii="HNGDIT+Nimbus Roman No9 L Medium"/>
          <w:color w:val="000000"/>
          <w:spacing w:val="0"/>
          <w:sz w:val="36"/>
        </w:rPr>
        <w:t>30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分，每小题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HNGDIT+Nimbus Roman No9 L Medium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452" w:x="2701" w:y="102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（说明：先判断正误，然后写出理由。）</w:t>
      </w:r>
    </w:p>
    <w:p>
      <w:pPr>
        <w:framePr w:w="7452" w:x="2701" w:y="10295"/>
        <w:widowControl w:val="0"/>
        <w:autoSpaceDE w:val="0"/>
        <w:autoSpaceDN w:val="0"/>
        <w:spacing w:before="29" w:after="0" w:line="368" w:lineRule="exact"/>
        <w:ind w:left="163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DHLUSE+Symbol" w:hAnsi="DHLUSE+Symbol" w:cs="DHLUSE+Symbol"/>
          <w:color w:val="000000"/>
          <w:spacing w:val="0"/>
          <w:sz w:val="35"/>
        </w:rPr>
        <w:sym w:font="DHLUSE+Symbol" w:char="F02B"/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WROIJJ+Nimbus Roman No9 L Regular Ital"/>
          <w:color w:val="000000"/>
          <w:spacing w:val="2"/>
          <w:sz w:val="35"/>
        </w:rPr>
        <w:t>MRS</w:t>
      </w:r>
      <w:r>
        <w:rPr>
          <w:rFonts w:ascii="Times New Roman"/>
          <w:color w:val="000000"/>
          <w:spacing w:val="276"/>
          <w:sz w:val="35"/>
        </w:rPr>
        <w:t xml:space="preserve"> </w:t>
      </w:r>
      <w:r>
        <w:rPr>
          <w:rFonts w:ascii="DHLUSE+Symbol" w:hAnsi="DHLUSE+Symbol" w:cs="DHLUSE+Symbol"/>
          <w:color w:val="000000"/>
          <w:spacing w:val="0"/>
          <w:sz w:val="35"/>
        </w:rPr>
        <w:sym w:font="DHLUSE+Symbol" w:char="F03D"/>
      </w:r>
      <w:r>
        <w:rPr>
          <w:rFonts w:ascii="Times New Roman"/>
          <w:color w:val="000000"/>
          <w:spacing w:val="8"/>
          <w:sz w:val="35"/>
        </w:rPr>
        <w:t xml:space="preserve"> </w:t>
      </w:r>
      <w:r>
        <w:rPr>
          <w:rFonts w:ascii="WROIJJ+Nimbus Roman No9 L Regular Ital"/>
          <w:color w:val="000000"/>
          <w:spacing w:val="2"/>
          <w:sz w:val="35"/>
        </w:rPr>
        <w:t>MRT</w:t>
      </w:r>
    </w:p>
    <w:p>
      <w:pPr>
        <w:framePr w:w="1819" w:x="2701" w:y="107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ADRHED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WROIJJ+Nimbus Roman No9 L Regular Ital"/>
          <w:color w:val="000000"/>
          <w:spacing w:val="2"/>
          <w:sz w:val="35"/>
        </w:rPr>
        <w:t>MRS</w:t>
      </w:r>
    </w:p>
    <w:p>
      <w:pPr>
        <w:framePr w:w="9108" w:x="7310" w:y="107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这是公共品最优提供条件，只有在完全自由竞争条</w:t>
      </w:r>
    </w:p>
    <w:p>
      <w:pPr>
        <w:framePr w:w="441" w:x="4064" w:y="10829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ROIJJ+Nimbus Roman No9 L Regular Ital"/>
          <w:color w:val="000000"/>
          <w:spacing w:val="0"/>
          <w:sz w:val="21"/>
        </w:rPr>
        <w:t>A</w:t>
      </w:r>
    </w:p>
    <w:p>
      <w:pPr>
        <w:framePr w:w="441" w:x="5353" w:y="10829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ROIJJ+Nimbus Roman No9 L Regular Ital"/>
          <w:color w:val="000000"/>
          <w:spacing w:val="0"/>
          <w:sz w:val="21"/>
        </w:rPr>
        <w:t>B</w:t>
      </w:r>
    </w:p>
    <w:p>
      <w:pPr>
        <w:framePr w:w="2948" w:x="2701" w:y="11075"/>
        <w:widowControl w:val="0"/>
        <w:autoSpaceDE w:val="0"/>
        <w:autoSpaceDN w:val="0"/>
        <w:spacing w:before="0" w:after="0" w:line="144" w:lineRule="exact"/>
        <w:ind w:left="131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ROIJJ+Nimbus Roman No9 L Regular Ital"/>
          <w:color w:val="000000"/>
          <w:spacing w:val="-2"/>
          <w:sz w:val="21"/>
        </w:rPr>
        <w:t>ha</w:t>
      </w:r>
    </w:p>
    <w:p>
      <w:pPr>
        <w:framePr w:w="2948" w:x="2701" w:y="11075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件下才能实现。</w:t>
      </w:r>
    </w:p>
    <w:p>
      <w:pPr>
        <w:framePr w:w="521" w:x="5317" w:y="11075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ROIJJ+Nimbus Roman No9 L Regular Ital"/>
          <w:color w:val="000000"/>
          <w:spacing w:val="-2"/>
          <w:sz w:val="21"/>
        </w:rPr>
        <w:t>ha</w:t>
      </w:r>
    </w:p>
    <w:p>
      <w:pPr>
        <w:framePr w:w="521" w:x="6645" w:y="11075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ROIJJ+Nimbus Roman No9 L Regular Ital"/>
          <w:color w:val="000000"/>
          <w:spacing w:val="-2"/>
          <w:sz w:val="21"/>
        </w:rPr>
        <w:t>ha</w:t>
      </w:r>
    </w:p>
    <w:p>
      <w:pPr>
        <w:framePr w:w="14283" w:x="2701" w:y="116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、混合性的公共品都具有两个特点：非竞争性和非排他性，所以必须由政府提</w:t>
      </w:r>
    </w:p>
    <w:p>
      <w:pPr>
        <w:framePr w:w="14283" w:x="2701" w:y="11689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供。</w:t>
      </w:r>
    </w:p>
    <w:p>
      <w:pPr>
        <w:framePr w:w="14329" w:x="2701" w:y="126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2"/>
          <w:sz w:val="36"/>
        </w:rPr>
        <w:t>公共品的社会需求曲线是个人需求曲线的纵向相加，因此均衡价格和均衡数</w:t>
      </w:r>
    </w:p>
    <w:p>
      <w:pPr>
        <w:framePr w:w="14329" w:x="2701" w:y="12625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量是由市场竞争决定的。</w:t>
      </w:r>
    </w:p>
    <w:p>
      <w:pPr>
        <w:framePr w:w="14283" w:x="2701" w:y="13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、河流污染的根本原因是缺乏所有权，如果政府决心要解决河流污染问题，那</w:t>
      </w:r>
    </w:p>
    <w:p>
      <w:pPr>
        <w:framePr w:w="14283" w:x="2701" w:y="1356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么只要确立财产所有权就可以解决河流污染问题。</w:t>
      </w:r>
    </w:p>
    <w:p>
      <w:pPr>
        <w:framePr w:w="14283" w:x="2701" w:y="1356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、假定政府增加了高质量的高速公路的提供，结果提高了有车族的社会福利，</w:t>
      </w:r>
    </w:p>
    <w:p>
      <w:pPr>
        <w:framePr w:w="14283" w:x="2701" w:y="1356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而对没有车的人不利，所以政府不应该这样做。</w:t>
      </w:r>
    </w:p>
    <w:p>
      <w:pPr>
        <w:framePr w:w="14283" w:x="2701" w:y="154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、汶川地震后很多人变成无家可归，政府应该完全提供灾民所需的住房医疗和</w:t>
      </w:r>
    </w:p>
    <w:p>
      <w:pPr>
        <w:framePr w:w="14283" w:x="2701" w:y="1543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其他一切生活所需。</w:t>
      </w:r>
    </w:p>
    <w:p>
      <w:pPr>
        <w:framePr w:w="6025" w:x="2701" w:y="168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三、选择题（每题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HNGDIT+Nimbus Roman No9 L Medium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分共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HNGDIT+Nimbus Roman No9 L Medium"/>
          <w:color w:val="000000"/>
          <w:spacing w:val="0"/>
          <w:sz w:val="36"/>
        </w:rPr>
        <w:t>25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0143" w:x="2701" w:y="173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、像高速公路这样的拥挤性公共品在定价时一般根据（</w:t>
      </w:r>
    </w:p>
    <w:p>
      <w:pPr>
        <w:framePr w:w="720" w:x="12242" w:y="17306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b</w:t>
      </w:r>
    </w:p>
    <w:p>
      <w:pPr>
        <w:framePr w:w="900" w:x="13323" w:y="173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2701" w:y="177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．边际成本</w:t>
      </w:r>
    </w:p>
    <w:p>
      <w:pPr>
        <w:framePr w:w="2600" w:x="2701" w:y="1777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．平均成本</w:t>
      </w:r>
    </w:p>
    <w:p>
      <w:pPr>
        <w:framePr w:w="2675" w:x="8361" w:y="177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拥挤成本</w:t>
      </w:r>
    </w:p>
    <w:p>
      <w:pPr>
        <w:framePr w:w="2963" w:x="8343" w:y="182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断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价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格</w:t>
      </w:r>
    </w:p>
    <w:p>
      <w:pPr>
        <w:framePr w:w="9729" w:x="2701" w:y="187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、公共的草地不具有排他性，只具有竞争性，它是（</w:t>
      </w:r>
    </w:p>
    <w:p>
      <w:pPr>
        <w:framePr w:w="720" w:x="11882" w:y="18711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d</w:t>
      </w:r>
    </w:p>
    <w:p>
      <w:pPr>
        <w:framePr w:w="900" w:x="12962" w:y="187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240" w:x="2701" w:y="191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．私人品</w:t>
      </w:r>
    </w:p>
    <w:p>
      <w:pPr>
        <w:framePr w:w="2220" w:x="9261" w:y="191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．公共品</w:t>
      </w:r>
    </w:p>
    <w:p>
      <w:pPr>
        <w:framePr w:w="2581" w:x="2701" w:y="197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．纯公共品</w:t>
      </w:r>
    </w:p>
    <w:p>
      <w:pPr>
        <w:framePr w:w="2960" w:x="9243" w:y="197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．混合公共品</w:t>
      </w:r>
    </w:p>
    <w:p>
      <w:pPr>
        <w:framePr w:w="6417" w:x="2701" w:y="204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、城市经济适用房提供者最好是（</w:t>
      </w:r>
    </w:p>
    <w:p>
      <w:pPr>
        <w:framePr w:w="6417" w:x="2701" w:y="20442"/>
        <w:widowControl w:val="0"/>
        <w:autoSpaceDE w:val="0"/>
        <w:autoSpaceDN w:val="0"/>
        <w:spacing w:before="14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．中央政府</w:t>
      </w:r>
    </w:p>
    <w:p>
      <w:pPr>
        <w:framePr w:w="880" w:x="9182" w:y="20442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de</w:t>
      </w:r>
    </w:p>
    <w:p>
      <w:pPr>
        <w:framePr w:w="900" w:x="10601" w:y="204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9603" w:y="209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．房地产商</w:t>
      </w:r>
    </w:p>
    <w:p>
      <w:pPr>
        <w:framePr w:w="2600" w:x="9603" w:y="2095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．地方政府</w:t>
      </w:r>
    </w:p>
    <w:p>
      <w:pPr>
        <w:framePr w:w="1861" w:x="2701" w:y="214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．个人</w:t>
      </w:r>
    </w:p>
    <w:p>
      <w:pPr>
        <w:framePr w:w="3280" w:x="2701" w:y="21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DRHED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．社会保障部门</w:t>
      </w:r>
    </w:p>
    <w:p>
      <w:pPr>
        <w:framePr w:w="540" w:x="8865" w:y="2318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DRHED+Nimbus Roman No9 L Regular"/>
          <w:color w:val="000000"/>
          <w:spacing w:val="0"/>
          <w:sz w:val="27"/>
        </w:rPr>
        <w:t>1</w:t>
      </w:r>
    </w:p>
    <w:p>
      <w:pPr>
        <w:framePr w:w="1219" w:x="9538" w:y="2320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ADRHED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5pt;margin-top:66.1pt;margin-left:131pt;mso-position-horizontal-relative:page;mso-position-vertical-relative:page;position:absolute;z-index:-251654144">
            <v:imagedata r:id="rId4" o:title=""/>
          </v:shape>
        </w:pict>
      </w:r>
      <w:r>
        <w:rPr>
          <w:noProof/>
        </w:rPr>
        <w:pict>
          <v:shape id="_x0000_s1026" type="#_x0000_t75" style="width:627.5pt;height:85.95pt;margin-top:218.1pt;margin-left:133.25pt;mso-position-horizontal-relative:page;mso-position-vertical-relative:page;position:absolute;z-index:-25165516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66" w:x="2701" w:y="209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、政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府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污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染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治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法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275"/>
          <w:sz w:val="36"/>
        </w:rPr>
        <w:t xml:space="preserve"> </w:t>
      </w:r>
      <w:r>
        <w:rPr>
          <w:rFonts w:ascii="RGGQGL+Nimbus Roman No9 L Regular"/>
          <w:color w:val="FF0000"/>
          <w:spacing w:val="45"/>
          <w:sz w:val="36"/>
        </w:rPr>
        <w:t>ae</w:t>
      </w:r>
    </w:p>
    <w:p>
      <w:pPr>
        <w:framePr w:w="900" w:x="10673" w:y="21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661" w:x="2701" w:y="259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．课征污染税</w:t>
      </w:r>
    </w:p>
    <w:p>
      <w:pPr>
        <w:framePr w:w="3661" w:x="2701" w:y="2598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．拍卖污染许可证</w:t>
      </w:r>
    </w:p>
    <w:p>
      <w:pPr>
        <w:framePr w:w="3661" w:x="2701" w:y="2598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．规制</w:t>
      </w:r>
    </w:p>
    <w:p>
      <w:pPr>
        <w:framePr w:w="4434" w:x="8523" w:y="259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．对减少污染进行补贴</w:t>
      </w:r>
    </w:p>
    <w:p>
      <w:pPr>
        <w:framePr w:w="4434" w:x="8523" w:y="2598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．确立财产所有权</w:t>
      </w:r>
    </w:p>
    <w:p>
      <w:pPr>
        <w:framePr w:w="8797" w:x="2701" w:y="421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、税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哪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种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会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择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700" w:x="10986" w:y="421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FF0000"/>
          <w:spacing w:val="0"/>
          <w:sz w:val="36"/>
        </w:rPr>
        <w:t>c</w:t>
      </w:r>
    </w:p>
    <w:p>
      <w:pPr>
        <w:framePr w:w="900" w:x="12807" w:y="42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2701" w:y="4722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．挤出效应</w:t>
      </w:r>
    </w:p>
    <w:p>
      <w:pPr>
        <w:framePr w:w="2600" w:x="2701" w:y="4722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．替代效应</w:t>
      </w:r>
    </w:p>
    <w:p>
      <w:pPr>
        <w:framePr w:w="2600" w:x="8523" w:y="4722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．收入效应</w:t>
      </w:r>
    </w:p>
    <w:p>
      <w:pPr>
        <w:framePr w:w="2600" w:x="8523" w:y="4722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．激励效应</w:t>
      </w:r>
    </w:p>
    <w:p>
      <w:pPr>
        <w:framePr w:w="6505" w:x="2701" w:y="587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、社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会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保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障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内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容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275"/>
          <w:sz w:val="36"/>
        </w:rPr>
        <w:t xml:space="preserve"> </w:t>
      </w:r>
      <w:r>
        <w:rPr>
          <w:rFonts w:ascii="RGGQGL+Nimbus Roman No9 L Regular"/>
          <w:color w:val="000000"/>
          <w:spacing w:val="0"/>
          <w:sz w:val="36"/>
        </w:rPr>
        <w:t>ab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RGGQGL+Nimbus Roman No9 L Regular"/>
          <w:color w:val="000000"/>
          <w:spacing w:val="45"/>
          <w:sz w:val="36"/>
        </w:rPr>
        <w:t>ce</w:t>
      </w:r>
    </w:p>
    <w:p>
      <w:pPr>
        <w:framePr w:w="6505" w:x="2701" w:y="5871"/>
        <w:widowControl w:val="0"/>
        <w:autoSpaceDE w:val="0"/>
        <w:autoSpaceDN w:val="0"/>
        <w:spacing w:before="13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．社会保险</w:t>
      </w:r>
    </w:p>
    <w:p>
      <w:pPr>
        <w:framePr w:w="900" w:x="10021" w:y="58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8883" w:y="6378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．社会福利</w:t>
      </w:r>
    </w:p>
    <w:p>
      <w:pPr>
        <w:framePr w:w="2600" w:x="8883" w:y="6378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．公共卫生</w:t>
      </w:r>
    </w:p>
    <w:p>
      <w:pPr>
        <w:framePr w:w="2581" w:x="2701" w:y="684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．社会救济</w:t>
      </w:r>
    </w:p>
    <w:p>
      <w:pPr>
        <w:framePr w:w="2560" w:x="2701" w:y="731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．社会优抚</w:t>
      </w:r>
    </w:p>
    <w:p>
      <w:pPr>
        <w:framePr w:w="7223" w:x="2701" w:y="784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、税收的转嫁和归宿的结果是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RGGQGL+Nimbus Roman No9 L Regular"/>
          <w:color w:val="FF0000"/>
          <w:spacing w:val="0"/>
          <w:sz w:val="36"/>
        </w:rPr>
        <w:t>bcd</w:t>
      </w:r>
    </w:p>
    <w:p>
      <w:pPr>
        <w:framePr w:w="900" w:x="10241" w:y="78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8165" w:x="2701" w:y="836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．需求完全富有弹性时生产者负担全部税收</w:t>
      </w:r>
    </w:p>
    <w:p>
      <w:pPr>
        <w:framePr w:w="8165" w:x="2701" w:y="8366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．供给弹性大时消费者负担一个大的比例</w:t>
      </w:r>
    </w:p>
    <w:p>
      <w:pPr>
        <w:framePr w:w="8165" w:x="2701" w:y="8366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．需求弹性大时生产者负担一个大的比例</w:t>
      </w:r>
    </w:p>
    <w:p>
      <w:pPr>
        <w:framePr w:w="8165" w:x="2701" w:y="8366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．需求完全无弹性时消费者负担全部税收</w:t>
      </w:r>
    </w:p>
    <w:p>
      <w:pPr>
        <w:framePr w:w="8165" w:x="2701" w:y="8366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．供给完全无弹性时生产者负担全部税收</w:t>
      </w:r>
    </w:p>
    <w:p>
      <w:pPr>
        <w:framePr w:w="9661" w:x="2701" w:y="1076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、学校是一种公共品，可以由以下主体提供（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RGGQGL+Nimbus Roman No9 L Regular"/>
          <w:color w:val="FF0000"/>
          <w:spacing w:val="0"/>
          <w:sz w:val="36"/>
        </w:rPr>
        <w:t>abcde</w:t>
      </w:r>
    </w:p>
    <w:p>
      <w:pPr>
        <w:framePr w:w="900" w:x="12717" w:y="107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2701" w:y="1129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．私人家庭</w:t>
      </w:r>
    </w:p>
    <w:p>
      <w:pPr>
        <w:framePr w:w="2600" w:x="2701" w:y="11293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．商人</w:t>
      </w:r>
    </w:p>
    <w:p>
      <w:pPr>
        <w:framePr w:w="2596" w:x="9423" w:y="1129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．中央政府</w:t>
      </w:r>
    </w:p>
    <w:p>
      <w:pPr>
        <w:framePr w:w="2596" w:x="9423" w:y="11293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．供货商</w:t>
      </w:r>
    </w:p>
    <w:p>
      <w:pPr>
        <w:framePr w:w="4393" w:x="2701" w:y="12287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．政府和个人共同提供</w:t>
      </w:r>
    </w:p>
    <w:p>
      <w:pPr>
        <w:framePr w:w="14283" w:x="2701" w:y="1287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、对生活必需品征税会降低绝大多数人的生活水平，政府可以采取下列方法补</w:t>
      </w:r>
    </w:p>
    <w:p>
      <w:pPr>
        <w:framePr w:w="3539" w:x="2701" w:y="13457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救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990"/>
          <w:sz w:val="36"/>
        </w:rPr>
        <w:t xml:space="preserve"> </w:t>
      </w:r>
      <w:r>
        <w:rPr>
          <w:rFonts w:ascii="RGGQGL+Nimbus Roman No9 L Regular"/>
          <w:color w:val="FF0000"/>
          <w:spacing w:val="0"/>
          <w:sz w:val="36"/>
        </w:rPr>
        <w:t>abce</w:t>
      </w:r>
    </w:p>
    <w:p>
      <w:pPr>
        <w:framePr w:w="900" w:x="6960" w:y="134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320" w:x="2701" w:y="1398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．进行价格补贴</w:t>
      </w:r>
    </w:p>
    <w:p>
      <w:pPr>
        <w:framePr w:w="3395" w:x="8721" w:y="1398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进行税收优惠</w:t>
      </w:r>
    </w:p>
    <w:p>
      <w:pPr>
        <w:framePr w:w="4417" w:x="2701" w:y="1445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．税前规定一个免税额</w:t>
      </w:r>
    </w:p>
    <w:p>
      <w:pPr>
        <w:framePr w:w="4417" w:x="2701" w:y="14451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．规定一个起征点</w:t>
      </w:r>
    </w:p>
    <w:p>
      <w:pPr>
        <w:framePr w:w="4136" w:x="8703" w:y="1445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提高社会保障程度</w:t>
      </w:r>
    </w:p>
    <w:p>
      <w:pPr>
        <w:framePr w:w="14490" w:x="2701" w:y="1544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．社会分配不公平时，再分配就可以提高社会福利。假定社会只有两个人，社</w:t>
      </w:r>
    </w:p>
    <w:p>
      <w:pPr>
        <w:framePr w:w="9808" w:x="2701" w:y="1603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会福利函数为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RGGQGL+Nimbus Roman No9 L Regular"/>
          <w:color w:val="000000"/>
          <w:spacing w:val="0"/>
          <w:sz w:val="36"/>
        </w:rPr>
        <w:t>W=U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RGGQGL+Nimbus Roman No9 L Regular"/>
          <w:color w:val="000000"/>
          <w:spacing w:val="0"/>
          <w:sz w:val="36"/>
        </w:rPr>
        <w:t>+U</w:t>
      </w:r>
      <w:r>
        <w:rPr>
          <w:rFonts w:ascii="Times New Roman"/>
          <w:color w:val="000000"/>
          <w:spacing w:val="30"/>
          <w:sz w:val="36"/>
        </w:rPr>
        <w:t xml:space="preserve"> </w:t>
      </w:r>
      <w:r>
        <w:rPr>
          <w:rFonts w:ascii="RGGQGL+Nimbus Roman No9 L Regular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富人彼得拿一美元给穷人保罗</w:t>
      </w:r>
    </w:p>
    <w:p>
      <w:pPr>
        <w:framePr w:w="900" w:x="11947" w:y="160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60" w:x="13027" w:y="1603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FF0000"/>
          <w:spacing w:val="0"/>
          <w:sz w:val="36"/>
        </w:rPr>
        <w:t>ac</w:t>
      </w:r>
    </w:p>
    <w:p>
      <w:pPr>
        <w:framePr w:w="900" w:x="14428" w:y="160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81" w:x="5754" w:y="16268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RGGQGL+Nimbus Roman No9 L Regular"/>
          <w:color w:val="000000"/>
          <w:spacing w:val="0"/>
          <w:sz w:val="24"/>
        </w:rPr>
        <w:t>1</w:t>
      </w:r>
    </w:p>
    <w:p>
      <w:pPr>
        <w:framePr w:w="481" w:x="6338" w:y="16268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RGGQGL+Nimbus Roman No9 L Regular"/>
          <w:color w:val="000000"/>
          <w:spacing w:val="0"/>
          <w:sz w:val="24"/>
        </w:rPr>
        <w:t>2</w:t>
      </w:r>
    </w:p>
    <w:p>
      <w:pPr>
        <w:framePr w:w="4040" w:x="2701" w:y="1661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．使保罗的境况改进</w:t>
      </w:r>
    </w:p>
    <w:p>
      <w:pPr>
        <w:framePr w:w="4020" w:x="7641" w:y="1661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．使彼得的境况变差</w:t>
      </w:r>
    </w:p>
    <w:p>
      <w:pPr>
        <w:framePr w:w="9775" w:x="2701" w:y="17201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．只要彼得损失的小于保罗获得的就可以继续给</w:t>
      </w:r>
    </w:p>
    <w:p>
      <w:pPr>
        <w:framePr w:w="9775" w:x="2701" w:y="17201"/>
        <w:widowControl w:val="0"/>
        <w:autoSpaceDE w:val="0"/>
        <w:autoSpaceDN w:val="0"/>
        <w:spacing w:before="213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彼得损失等于保罗获得，社会就达到帕累托最优</w:t>
      </w:r>
    </w:p>
    <w:p>
      <w:pPr>
        <w:framePr w:w="9775" w:x="2701" w:y="17201"/>
        <w:widowControl w:val="0"/>
        <w:autoSpaceDE w:val="0"/>
        <w:autoSpaceDN w:val="0"/>
        <w:spacing w:before="21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．彼得损失等于保罗获得，社会就应该停止再分配。</w:t>
      </w:r>
    </w:p>
    <w:p>
      <w:pPr>
        <w:framePr w:w="4968" w:x="2701" w:y="1895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7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、政府的财政支出包括（</w:t>
      </w:r>
    </w:p>
    <w:p>
      <w:pPr>
        <w:framePr w:w="880" w:x="7727" w:y="1895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ad</w:t>
      </w:r>
    </w:p>
    <w:p>
      <w:pPr>
        <w:framePr w:w="900" w:x="9686" w:y="189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960" w:x="2701" w:y="1948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．购买性支出</w:t>
      </w:r>
    </w:p>
    <w:p>
      <w:pPr>
        <w:framePr w:w="2675" w:x="8721" w:y="19485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教育支出</w:t>
      </w:r>
    </w:p>
    <w:p>
      <w:pPr>
        <w:framePr w:w="4831" w:x="2701" w:y="1995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．城市公共基础设施支出</w:t>
      </w:r>
    </w:p>
    <w:p>
      <w:pPr>
        <w:framePr w:w="4831" w:x="2701" w:y="19953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．税收支出</w:t>
      </w:r>
    </w:p>
    <w:p>
      <w:pPr>
        <w:framePr w:w="3056" w:x="8703" w:y="19953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转移性支出</w:t>
      </w:r>
    </w:p>
    <w:p>
      <w:pPr>
        <w:framePr w:w="6832" w:x="2701" w:y="2094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、政府采购制度的基本内容是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220" w:x="9362" w:y="20946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0"/>
          <w:sz w:val="36"/>
        </w:rPr>
        <w:t>abcd</w:t>
      </w:r>
    </w:p>
    <w:p>
      <w:pPr>
        <w:framePr w:w="900" w:x="11663" w:y="209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320" w:x="2701" w:y="21472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．政府采购法规</w:t>
      </w:r>
    </w:p>
    <w:p>
      <w:pPr>
        <w:framePr w:w="3320" w:x="2701" w:y="21472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．政府采购程序</w:t>
      </w:r>
    </w:p>
    <w:p>
      <w:pPr>
        <w:framePr w:w="3416" w:x="8703" w:y="21472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政府采购政策</w:t>
      </w:r>
    </w:p>
    <w:p>
      <w:pPr>
        <w:framePr w:w="3416" w:x="8703" w:y="21472"/>
        <w:widowControl w:val="0"/>
        <w:autoSpaceDE w:val="0"/>
        <w:autoSpaceDN w:val="0"/>
        <w:spacing w:before="98" w:after="0" w:line="3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GGQGL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政府采购管理</w:t>
      </w:r>
    </w:p>
    <w:p>
      <w:pPr>
        <w:framePr w:w="540" w:x="8865" w:y="23188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GGQGL+Nimbus Roman No9 L Regular"/>
          <w:color w:val="000000"/>
          <w:spacing w:val="0"/>
          <w:sz w:val="27"/>
        </w:rPr>
        <w:t>2</w:t>
      </w:r>
    </w:p>
    <w:p>
      <w:pPr>
        <w:framePr w:w="1219" w:x="9538" w:y="23202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RGGQGL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5pt;margin-top:66.1pt;margin-left:131pt;mso-position-horizontal-relative:page;mso-position-vertical-relative:page;position:absolute;z-index:-25165619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80" w:x="2701" w:y="1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．政府采购模式</w:t>
      </w:r>
    </w:p>
    <w:p>
      <w:pPr>
        <w:framePr w:w="6211" w:x="2701" w:y="24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13</w:t>
      </w:r>
      <w:r>
        <w:rPr>
          <w:rFonts w:ascii="SimSun" w:hAnsi="SimSun" w:cs="SimSun"/>
          <w:color w:val="000000"/>
          <w:spacing w:val="0"/>
          <w:sz w:val="36"/>
        </w:rPr>
        <w:t>、税收的效率原则的含义是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80" w:x="8822" w:y="2404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de</w:t>
      </w:r>
    </w:p>
    <w:p>
      <w:pPr>
        <w:framePr w:w="900" w:x="10781" w:y="24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445" w:x="2701" w:y="29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．在公共品和私人品之间的最优比例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公共品的最优提供</w:t>
      </w:r>
    </w:p>
    <w:p>
      <w:pPr>
        <w:framePr w:w="4021" w:x="2701" w:y="3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．私人品的最优提供</w:t>
      </w:r>
    </w:p>
    <w:p>
      <w:pPr>
        <w:framePr w:w="4546" w:x="9063" w:y="3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富有弹性的税收制度</w:t>
      </w:r>
    </w:p>
    <w:p>
      <w:pPr>
        <w:framePr w:w="4807" w:x="2701" w:y="38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．税收征管成本的最小化</w:t>
      </w:r>
    </w:p>
    <w:p>
      <w:pPr>
        <w:framePr w:w="7223" w:x="2701" w:y="43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14</w:t>
      </w:r>
      <w:r>
        <w:rPr>
          <w:rFonts w:ascii="SimSun" w:hAnsi="SimSun" w:cs="SimSun"/>
          <w:color w:val="000000"/>
          <w:spacing w:val="0"/>
          <w:sz w:val="36"/>
        </w:rPr>
        <w:t>、税收的公平原则的含义是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DMGCEI+Nimbus Roman No9 L Regular"/>
          <w:color w:val="000000"/>
          <w:spacing w:val="0"/>
          <w:sz w:val="36"/>
        </w:rPr>
        <w:t>bc</w:t>
      </w:r>
    </w:p>
    <w:p>
      <w:pPr>
        <w:framePr w:w="900" w:x="10961" w:y="44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073" w:x="2701" w:y="49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．绝对税收数量的公平</w:t>
      </w:r>
    </w:p>
    <w:p>
      <w:pPr>
        <w:framePr w:w="6073" w:x="2701" w:y="49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．按照人们消费的公共品的数量</w:t>
      </w:r>
    </w:p>
    <w:p>
      <w:pPr>
        <w:framePr w:w="6073" w:x="2701" w:y="49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．对低收入者不征税</w:t>
      </w:r>
    </w:p>
    <w:p>
      <w:pPr>
        <w:framePr w:w="5373" w:x="8703" w:y="49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按照收入征收相应的税收</w:t>
      </w:r>
    </w:p>
    <w:p>
      <w:pPr>
        <w:framePr w:w="5373" w:x="8703" w:y="49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按照社会地位的高低</w:t>
      </w:r>
    </w:p>
    <w:p>
      <w:pPr>
        <w:framePr w:w="5176" w:x="2701" w:y="63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15</w:t>
      </w:r>
      <w:r>
        <w:rPr>
          <w:rFonts w:ascii="SimSun" w:hAnsi="SimSun" w:cs="SimSun"/>
          <w:color w:val="000000"/>
          <w:spacing w:val="0"/>
          <w:sz w:val="36"/>
        </w:rPr>
        <w:t>、政府征税的结果是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040" w:x="8282" w:y="6382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FF0000"/>
          <w:spacing w:val="0"/>
          <w:sz w:val="36"/>
        </w:rPr>
        <w:t>cde</w:t>
      </w:r>
    </w:p>
    <w:p>
      <w:pPr>
        <w:framePr w:w="900" w:x="10043" w:y="63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439" w:x="2701" w:y="69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．降低了纳税人的福利</w:t>
      </w:r>
    </w:p>
    <w:p>
      <w:pPr>
        <w:framePr w:w="4439" w:x="2701" w:y="690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．增加政府收入</w:t>
      </w:r>
    </w:p>
    <w:p>
      <w:pPr>
        <w:framePr w:w="5787" w:x="8703" w:y="69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政府可以增加社会福利水平</w:t>
      </w:r>
    </w:p>
    <w:p>
      <w:pPr>
        <w:framePr w:w="5787" w:x="8703" w:y="690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提高穷人的福利水平</w:t>
      </w:r>
    </w:p>
    <w:p>
      <w:pPr>
        <w:framePr w:w="6049" w:x="2701" w:y="78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．收入从私人部门转向公共部门</w:t>
      </w:r>
    </w:p>
    <w:p>
      <w:pPr>
        <w:framePr w:w="7246" w:x="2701" w:y="83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16</w:t>
      </w:r>
      <w:r>
        <w:rPr>
          <w:rFonts w:ascii="SimSun" w:hAnsi="SimSun" w:cs="SimSun"/>
          <w:color w:val="000000"/>
          <w:spacing w:val="0"/>
          <w:sz w:val="36"/>
        </w:rPr>
        <w:t>、政府增加征税会产生以下负担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80" w:x="9722" w:y="8370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FF0000"/>
          <w:spacing w:val="0"/>
          <w:sz w:val="36"/>
        </w:rPr>
        <w:t>ad</w:t>
      </w:r>
    </w:p>
    <w:p>
      <w:pPr>
        <w:framePr w:w="900" w:x="11681" w:y="83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040" w:x="2701" w:y="8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．纳税人的税收负担</w:t>
      </w:r>
    </w:p>
    <w:p>
      <w:pPr>
        <w:framePr w:w="4040" w:x="2701" w:y="889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．个人的税收负担</w:t>
      </w:r>
    </w:p>
    <w:p>
      <w:pPr>
        <w:framePr w:w="4040" w:x="2701" w:y="889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．外国人的税收负担</w:t>
      </w:r>
    </w:p>
    <w:p>
      <w:pPr>
        <w:framePr w:w="3776" w:x="8703" w:y="8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企业的税收负担</w:t>
      </w:r>
    </w:p>
    <w:p>
      <w:pPr>
        <w:framePr w:w="3776" w:x="8703" w:y="889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税收的超额负担</w:t>
      </w:r>
    </w:p>
    <w:p>
      <w:pPr>
        <w:framePr w:w="6211" w:x="2701" w:y="103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17</w:t>
      </w:r>
      <w:r>
        <w:rPr>
          <w:rFonts w:ascii="SimSun" w:hAnsi="SimSun" w:cs="SimSun"/>
          <w:color w:val="000000"/>
          <w:spacing w:val="0"/>
          <w:sz w:val="36"/>
        </w:rPr>
        <w:t>、税收的转嫁与归宿取决于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80" w:x="8822" w:y="10361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ad</w:t>
      </w:r>
    </w:p>
    <w:p>
      <w:pPr>
        <w:framePr w:w="900" w:x="10781" w:y="103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680" w:x="2701" w:y="10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．需求的价格弹性</w:t>
      </w:r>
    </w:p>
    <w:p>
      <w:pPr>
        <w:framePr w:w="3680" w:x="2701" w:y="1088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．双方的竞争关系</w:t>
      </w:r>
    </w:p>
    <w:p>
      <w:pPr>
        <w:framePr w:w="3680" w:x="2701" w:y="1088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．通货膨胀系数</w:t>
      </w:r>
    </w:p>
    <w:p>
      <w:pPr>
        <w:framePr w:w="3392" w:x="9081" w:y="108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市场供求关系</w:t>
      </w:r>
    </w:p>
    <w:p>
      <w:pPr>
        <w:framePr w:w="3773" w:x="9063" w:y="113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供给的价格弹性</w:t>
      </w:r>
    </w:p>
    <w:p>
      <w:pPr>
        <w:framePr w:w="9316" w:x="2701" w:y="123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18</w:t>
      </w:r>
      <w:r>
        <w:rPr>
          <w:rFonts w:ascii="SimSun" w:hAnsi="SimSun" w:cs="SimSun"/>
          <w:color w:val="000000"/>
          <w:spacing w:val="0"/>
          <w:sz w:val="36"/>
        </w:rPr>
        <w:t>、税收在什么情况下完全由买卖一方承担？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60" w:x="11522" w:y="12348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ae</w:t>
      </w:r>
    </w:p>
    <w:p>
      <w:pPr>
        <w:framePr w:w="900" w:x="13463" w:y="123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509" w:x="2701" w:y="12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．需求完全无弹性税收由买方承担</w:t>
      </w:r>
    </w:p>
    <w:p>
      <w:pPr>
        <w:framePr w:w="6509" w:x="2701" w:y="128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．需求弹性大于供给弹性</w:t>
      </w:r>
    </w:p>
    <w:p>
      <w:pPr>
        <w:framePr w:w="4960" w:x="9063" w:y="12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供给弹性大于需求弹性</w:t>
      </w:r>
    </w:p>
    <w:p>
      <w:pPr>
        <w:framePr w:w="4960" w:x="9063" w:y="128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供给弹性等于需求弹性</w:t>
      </w:r>
    </w:p>
    <w:p>
      <w:pPr>
        <w:framePr w:w="6463" w:x="2701" w:y="138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．供给完全无弹性税收由卖方承担</w:t>
      </w:r>
    </w:p>
    <w:p>
      <w:pPr>
        <w:framePr w:w="9316" w:x="2701" w:y="143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19</w:t>
      </w:r>
      <w:r>
        <w:rPr>
          <w:rFonts w:ascii="SimSun" w:hAnsi="SimSun" w:cs="SimSun"/>
          <w:color w:val="000000"/>
          <w:spacing w:val="0"/>
          <w:sz w:val="36"/>
        </w:rPr>
        <w:t>、税收在什么情况下买卖双方各承担一半？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720" w:x="11522" w:y="14339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d</w:t>
      </w:r>
    </w:p>
    <w:p>
      <w:pPr>
        <w:framePr w:w="900" w:x="13323" w:y="143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680" w:x="2701" w:y="14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．需求完全无弹性</w:t>
      </w:r>
    </w:p>
    <w:p>
      <w:pPr>
        <w:framePr w:w="4960" w:x="9063" w:y="14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供给弹性大于需求弹性</w:t>
      </w:r>
    </w:p>
    <w:p>
      <w:pPr>
        <w:framePr w:w="4960" w:x="9063" w:y="1486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供给弹性等于需求弹性</w:t>
      </w:r>
    </w:p>
    <w:p>
      <w:pPr>
        <w:framePr w:w="4831" w:x="2701" w:y="15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．需求弹性大于供给弹性</w:t>
      </w:r>
    </w:p>
    <w:p>
      <w:pPr>
        <w:framePr w:w="4831" w:x="2701" w:y="1533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．供给完全无弹性</w:t>
      </w:r>
    </w:p>
    <w:p>
      <w:pPr>
        <w:framePr w:w="7614" w:x="2701" w:y="163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、公债的负担与限度取决于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DMGCEI+Nimbus Roman No9 L Regular"/>
          <w:color w:val="000000"/>
          <w:spacing w:val="0"/>
          <w:sz w:val="36"/>
        </w:rPr>
        <w:t>abe</w:t>
      </w:r>
    </w:p>
    <w:p>
      <w:pPr>
        <w:framePr w:w="900" w:x="10943" w:y="163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853" w:x="2701" w:y="16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．认购人的实际负担能力</w:t>
      </w:r>
    </w:p>
    <w:p>
      <w:pPr>
        <w:framePr w:w="4853" w:x="2701" w:y="168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．银行的存款数量</w:t>
      </w:r>
    </w:p>
    <w:p>
      <w:pPr>
        <w:framePr w:w="3776" w:x="8703" w:y="16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政府的偿债能力</w:t>
      </w:r>
    </w:p>
    <w:p>
      <w:pPr>
        <w:framePr w:w="3776" w:x="8703" w:y="1685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央行的调节政策</w:t>
      </w:r>
    </w:p>
    <w:p>
      <w:pPr>
        <w:framePr w:w="4000" w:x="2701" w:y="177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．纳税人的负担能力</w:t>
      </w:r>
    </w:p>
    <w:p>
      <w:pPr>
        <w:framePr w:w="6832" w:x="2701" w:y="1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21</w:t>
      </w:r>
      <w:r>
        <w:rPr>
          <w:rFonts w:ascii="SimSun" w:hAnsi="SimSun" w:cs="SimSun"/>
          <w:color w:val="000000"/>
          <w:spacing w:val="0"/>
          <w:sz w:val="36"/>
        </w:rPr>
        <w:t>、当年发行公债的规模取决于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220" w:x="9722" w:y="18318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FF0000"/>
          <w:spacing w:val="0"/>
          <w:sz w:val="36"/>
        </w:rPr>
        <w:t>abcd</w:t>
      </w:r>
    </w:p>
    <w:p>
      <w:pPr>
        <w:framePr w:w="900" w:x="11659" w:y="183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853" w:x="2701" w:y="188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．历年累积债务的总规模</w:t>
      </w:r>
    </w:p>
    <w:p>
      <w:pPr>
        <w:framePr w:w="4853" w:x="2701" w:y="188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．公众购买力</w:t>
      </w:r>
    </w:p>
    <w:p>
      <w:pPr>
        <w:framePr w:w="4545" w:x="8703" w:y="188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当年发行的国债总额</w:t>
      </w:r>
    </w:p>
    <w:p>
      <w:pPr>
        <w:framePr w:w="4545" w:x="8703" w:y="188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银行存款</w:t>
      </w:r>
    </w:p>
    <w:p>
      <w:pPr>
        <w:framePr w:w="6049" w:x="2701" w:y="197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．当年到期还本付息的债务总额</w:t>
      </w:r>
    </w:p>
    <w:p>
      <w:pPr>
        <w:framePr w:w="8672" w:x="2701" w:y="21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22</w:t>
      </w:r>
      <w:r>
        <w:rPr>
          <w:rFonts w:ascii="SimSun" w:hAnsi="SimSun" w:cs="SimSun"/>
          <w:color w:val="000000"/>
          <w:spacing w:val="0"/>
          <w:sz w:val="36"/>
        </w:rPr>
        <w:t>、衡量公债的规模两个主要指标是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DMGCEI+Nimbus Roman No9 L Regular"/>
          <w:color w:val="000000"/>
          <w:spacing w:val="0"/>
          <w:sz w:val="36"/>
        </w:rPr>
        <w:t>bde</w:t>
      </w:r>
    </w:p>
    <w:p>
      <w:pPr>
        <w:framePr w:w="900" w:x="12221" w:y="214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448" w:x="2701" w:y="22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．公债负担率</w:t>
      </w:r>
      <w:r>
        <w:rPr>
          <w:rFonts w:ascii="Times New Roman"/>
          <w:color w:val="000000"/>
          <w:spacing w:val="3511"/>
          <w:sz w:val="36"/>
        </w:rPr>
        <w:t xml:space="preserve"> </w:t>
      </w: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当年发行的国债总额</w:t>
      </w:r>
    </w:p>
    <w:p>
      <w:pPr>
        <w:framePr w:w="540" w:x="8865" w:y="2318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MGCEI+Nimbus Roman No9 L Regular"/>
          <w:color w:val="000000"/>
          <w:spacing w:val="0"/>
          <w:sz w:val="27"/>
        </w:rPr>
        <w:t>3</w:t>
      </w:r>
    </w:p>
    <w:p>
      <w:pPr>
        <w:framePr w:w="1219" w:x="9538" w:y="2320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DMGCEI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5pt;margin-top:66.1pt;margin-left:131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941" w:x="2701" w:y="1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．公债依存度</w:t>
      </w:r>
    </w:p>
    <w:p>
      <w:pPr>
        <w:framePr w:w="4550" w:x="8703" w:y="1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历年累积公债务总额</w:t>
      </w:r>
    </w:p>
    <w:p>
      <w:pPr>
        <w:framePr w:w="4550" w:x="8703" w:y="1878"/>
        <w:widowControl w:val="0"/>
        <w:autoSpaceDE w:val="0"/>
        <w:autoSpaceDN w:val="0"/>
        <w:spacing w:before="634" w:after="0" w:line="360" w:lineRule="exact"/>
        <w:ind w:left="29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cde</w:t>
      </w:r>
      <w:r>
        <w:rPr>
          <w:rFonts w:ascii="Times New Roman"/>
          <w:color w:val="000000"/>
          <w:spacing w:val="9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6049" w:x="2701" w:y="23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．当年到期还本付息的债务总额</w:t>
      </w:r>
    </w:p>
    <w:p>
      <w:pPr>
        <w:framePr w:w="5797" w:x="2701" w:y="28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23</w:t>
      </w:r>
      <w:r>
        <w:rPr>
          <w:rFonts w:ascii="SimSun" w:hAnsi="SimSun" w:cs="SimSun"/>
          <w:color w:val="000000"/>
          <w:spacing w:val="0"/>
          <w:sz w:val="36"/>
        </w:rPr>
        <w:t>、公债的发行最关键的是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3320" w:x="2701" w:y="3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．确定发行价格</w:t>
      </w:r>
    </w:p>
    <w:p>
      <w:pPr>
        <w:framePr w:w="3416" w:x="8703" w:y="3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确定发行额度</w:t>
      </w:r>
    </w:p>
    <w:p>
      <w:pPr>
        <w:framePr w:w="3416" w:x="8703" w:y="33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确定公债利率</w:t>
      </w:r>
    </w:p>
    <w:p>
      <w:pPr>
        <w:framePr w:w="4417" w:x="2701" w:y="38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．确定公债的销售方式</w:t>
      </w:r>
    </w:p>
    <w:p>
      <w:pPr>
        <w:framePr w:w="3280" w:x="2701" w:y="43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．确定市场价格</w:t>
      </w:r>
    </w:p>
    <w:p>
      <w:pPr>
        <w:framePr w:w="6625" w:x="2701" w:y="49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24</w:t>
      </w:r>
      <w:r>
        <w:rPr>
          <w:rFonts w:ascii="SimSun" w:hAnsi="SimSun" w:cs="SimSun"/>
          <w:color w:val="000000"/>
          <w:spacing w:val="0"/>
          <w:sz w:val="36"/>
        </w:rPr>
        <w:t>、社会保障的四个基本内容是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1200" w:x="9182" w:y="4978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abce</w:t>
      </w:r>
    </w:p>
    <w:p>
      <w:pPr>
        <w:framePr w:w="900" w:x="11461" w:y="49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2600" w:x="2701" w:y="55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．社会保险</w:t>
      </w:r>
    </w:p>
    <w:p>
      <w:pPr>
        <w:framePr w:w="2600" w:x="2701" w:y="550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．社会福利</w:t>
      </w:r>
    </w:p>
    <w:p>
      <w:pPr>
        <w:framePr w:w="2696" w:x="8703" w:y="55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社会救济</w:t>
      </w:r>
    </w:p>
    <w:p>
      <w:pPr>
        <w:framePr w:w="2696" w:x="8703" w:y="550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公共卫生</w:t>
      </w:r>
    </w:p>
    <w:p>
      <w:pPr>
        <w:framePr w:w="2560" w:x="2701" w:y="64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．公费医疗</w:t>
      </w:r>
    </w:p>
    <w:p>
      <w:pPr>
        <w:framePr w:w="6625" w:x="2701" w:y="70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25</w:t>
      </w:r>
      <w:r>
        <w:rPr>
          <w:rFonts w:ascii="SimSun" w:hAnsi="SimSun" w:cs="SimSun"/>
          <w:color w:val="000000"/>
          <w:spacing w:val="0"/>
          <w:sz w:val="36"/>
        </w:rPr>
        <w:t>、我国养老保险的两个账户是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</w:p>
    <w:p>
      <w:pPr>
        <w:framePr w:w="880" w:x="9182" w:y="7084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ab</w:t>
      </w:r>
    </w:p>
    <w:p>
      <w:pPr>
        <w:framePr w:w="900" w:x="11141" w:y="70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439" w:x="2701" w:y="7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．统筹基础养老金账户</w:t>
      </w:r>
    </w:p>
    <w:p>
      <w:pPr>
        <w:framePr w:w="4439" w:x="2701" w:y="7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．银行账户</w:t>
      </w:r>
    </w:p>
    <w:p>
      <w:pPr>
        <w:framePr w:w="3776" w:x="8703" w:y="7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养老金个人账户</w:t>
      </w:r>
    </w:p>
    <w:p>
      <w:pPr>
        <w:framePr w:w="3776" w:x="8703" w:y="7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股票投资人账户</w:t>
      </w:r>
    </w:p>
    <w:p>
      <w:pPr>
        <w:framePr w:w="6049" w:x="2701" w:y="86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MGCEI+Nimbus Roman No9 L Regular"/>
          <w:color w:val="000000"/>
          <w:spacing w:val="0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．企业为个人缴纳的养老金账户</w:t>
      </w:r>
    </w:p>
    <w:p>
      <w:pPr>
        <w:framePr w:w="10662" w:x="2701" w:y="103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四、论述我国增值税改革和扩围的目的和影响。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DMGCEI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0662" w:x="2701" w:y="10361"/>
        <w:widowControl w:val="0"/>
        <w:autoSpaceDE w:val="0"/>
        <w:autoSpaceDN w:val="0"/>
        <w:spacing w:before="139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五、论述房地产所得税实施的效果分析。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DMGCEI+Nimbus Roman No9 L Regular"/>
          <w:color w:val="000000"/>
          <w:spacing w:val="0"/>
          <w:sz w:val="36"/>
        </w:rPr>
        <w:t>15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540" w:x="8865" w:y="2318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MGCEI+Nimbus Roman No9 L Regular"/>
          <w:color w:val="000000"/>
          <w:spacing w:val="0"/>
          <w:sz w:val="27"/>
        </w:rPr>
        <w:t>4</w:t>
      </w:r>
    </w:p>
    <w:p>
      <w:pPr>
        <w:framePr w:w="1219" w:x="9538" w:y="2320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DMGCEI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5pt;margin-top:66.1pt;margin-left:131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13E8BDC-D0C4-41A3-AF3E-2B4A6B160BB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0557F01-8F49-4BF0-95EA-8C90A0C10B9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994472E-3A3F-4A49-879F-770DDDE51AF2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DHLUSE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A55CAFDF-638D-4D05-BF11-106BF36D95A1}"/>
  </w:font>
  <w:font w:name="ADRHED+Nimbus Roman No9 L Regular">
    <w:charset w:val="00"/>
    <w:family w:val="auto"/>
    <w:pitch w:val="default"/>
  </w:font>
  <w:font w:name="Cambria">
    <w:charset w:val="00"/>
    <w:family w:val="auto"/>
    <w:pitch w:val="default"/>
    <w:embedRegular r:id="rId5" w:fontKey="{C6C966AE-3090-41E0-A144-C924907F52FA}"/>
  </w:font>
  <w:font w:name="DMGCEI+Nimbus Roman No9 L Regular">
    <w:charset w:val="00"/>
    <w:family w:val="auto"/>
    <w:pitch w:val="default"/>
  </w:font>
  <w:font w:name="HNGDIT+Nimbus Roman No9 L Medium">
    <w:charset w:val="00"/>
    <w:family w:val="auto"/>
    <w:pitch w:val="default"/>
  </w:font>
  <w:font w:name="RGGQGL+Nimbus Roman No9 L Regular">
    <w:charset w:val="00"/>
    <w:family w:val="auto"/>
    <w:pitch w:val="default"/>
  </w:font>
  <w:font w:name="WROIJJ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532</Words>
  <Characters>2245</Characters>
  <Application>Microsoft Office Word</Application>
  <DocSecurity>0</DocSecurity>
  <Lines>235</Lines>
  <Paragraphs>235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2023-02-26T01:21:29Z</dcterms:created>
  <dcterms:modified xsi:type="dcterms:W3CDTF">2023-02-26T01:21:29Z</dcterms:modified>
</cp:coreProperties>
</file>