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39DA" w:rsidRDefault="00C557E8" w:rsidP="00C557E8">
      <w:pPr>
        <w:spacing w:line="360" w:lineRule="auto"/>
        <w:ind w:firstLineChars="200" w:firstLine="422"/>
        <w:jc w:val="left"/>
        <w:rPr>
          <w:rFonts w:ascii="宋体" w:cs="宋体"/>
          <w:color w:val="000000"/>
          <w:szCs w:val="21"/>
        </w:rPr>
      </w:pPr>
      <w:r>
        <w:rPr>
          <w:rFonts w:ascii="宋体" w:hAnsi="宋体" w:cs="宋体" w:hint="eastAsia"/>
          <w:b/>
          <w:bCs/>
          <w:color w:val="000000"/>
          <w:szCs w:val="21"/>
        </w:rPr>
        <w:t xml:space="preserve"> </w:t>
      </w:r>
    </w:p>
    <w:p w:rsidR="005339DA" w:rsidRDefault="005339DA">
      <w:pPr>
        <w:spacing w:line="360" w:lineRule="auto"/>
        <w:jc w:val="center"/>
        <w:rPr>
          <w:rFonts w:ascii="黑体" w:eastAsia="黑体" w:hAnsi="黑体" w:cs="宋体"/>
          <w:color w:val="000000"/>
          <w:sz w:val="30"/>
          <w:szCs w:val="30"/>
        </w:rPr>
      </w:pPr>
    </w:p>
    <w:p w:rsidR="005339DA" w:rsidRPr="00703E19" w:rsidRDefault="005339DA" w:rsidP="00703E19">
      <w:pPr>
        <w:spacing w:line="360" w:lineRule="auto"/>
        <w:jc w:val="center"/>
        <w:rPr>
          <w:rFonts w:ascii="黑体" w:eastAsia="黑体" w:hAnsi="黑体" w:cs="宋体"/>
          <w:color w:val="000000"/>
          <w:szCs w:val="21"/>
        </w:rPr>
      </w:pPr>
      <w:r w:rsidRPr="00703E19">
        <w:rPr>
          <w:rFonts w:ascii="黑体" w:eastAsia="黑体" w:hAnsi="黑体" w:cs="宋体" w:hint="eastAsia"/>
          <w:color w:val="000000"/>
          <w:szCs w:val="21"/>
        </w:rPr>
        <w:t>论互文性的突围：以《堂吉诃德》《尘埃落定》戏剧改编事件为例</w:t>
      </w:r>
    </w:p>
    <w:p w:rsidR="005339DA" w:rsidRDefault="00C557E8">
      <w:pPr>
        <w:spacing w:line="360" w:lineRule="auto"/>
        <w:jc w:val="center"/>
        <w:rPr>
          <w:rFonts w:ascii="宋体" w:cs="宋体"/>
          <w:szCs w:val="21"/>
        </w:rPr>
      </w:pPr>
      <w:r>
        <w:rPr>
          <w:rFonts w:ascii="宋体" w:hAnsi="宋体" w:cs="宋体" w:hint="eastAsia"/>
          <w:color w:val="000000"/>
          <w:szCs w:val="21"/>
        </w:rPr>
        <w:t xml:space="preserve"> </w:t>
      </w:r>
    </w:p>
    <w:p w:rsidR="005339DA" w:rsidRDefault="005339DA">
      <w:pPr>
        <w:spacing w:line="360" w:lineRule="auto"/>
        <w:ind w:firstLineChars="200" w:firstLine="482"/>
        <w:rPr>
          <w:rFonts w:ascii="宋体" w:cs="宋体"/>
          <w:color w:val="000000"/>
          <w:sz w:val="24"/>
        </w:rPr>
      </w:pPr>
      <w:r>
        <w:rPr>
          <w:rFonts w:ascii="宋体" w:hAnsi="宋体" w:cs="宋体" w:hint="eastAsia"/>
          <w:b/>
          <w:color w:val="000000"/>
          <w:sz w:val="24"/>
        </w:rPr>
        <w:t>摘要：</w:t>
      </w:r>
      <w:r>
        <w:rPr>
          <w:rFonts w:ascii="宋体" w:hAnsi="宋体" w:cs="宋体" w:hint="eastAsia"/>
          <w:color w:val="000000"/>
          <w:sz w:val="24"/>
        </w:rPr>
        <w:t>中文版音乐剧《堂吉诃德》和话剧《尘埃落定》是近年来较为代表性的舞台作品，它们源自文学名著却在舞台空间赢得了相对独立的艺术品格。在这两起艺术改编事件中，我们可以很清晰看到属于小说和戏剧之间的互文性，这是一种充斥着时间性与空间性的互文性，更为重要的是，其互文性的养成是复调式的小说到戏剧的转移，但同时在接受中又容易陷入诗与真的悖谬困境中。在“后戏剧剧场”的语境中，重新提倡“整一性”和“回归契诃夫”，可能是此类互文性的突围之道。</w:t>
      </w:r>
    </w:p>
    <w:p w:rsidR="005339DA" w:rsidRDefault="005339DA">
      <w:pPr>
        <w:spacing w:line="360" w:lineRule="auto"/>
        <w:ind w:firstLineChars="200" w:firstLine="482"/>
        <w:rPr>
          <w:rFonts w:ascii="宋体" w:cs="宋体"/>
          <w:color w:val="000000"/>
          <w:sz w:val="24"/>
        </w:rPr>
      </w:pPr>
      <w:r>
        <w:rPr>
          <w:rFonts w:ascii="宋体" w:hAnsi="宋体" w:cs="宋体" w:hint="eastAsia"/>
          <w:b/>
          <w:color w:val="000000"/>
          <w:sz w:val="24"/>
        </w:rPr>
        <w:t>关键词：</w:t>
      </w:r>
      <w:r>
        <w:rPr>
          <w:rFonts w:ascii="宋体" w:hAnsi="宋体" w:cs="宋体" w:hint="eastAsia"/>
          <w:color w:val="000000"/>
          <w:sz w:val="24"/>
        </w:rPr>
        <w:t>互文性</w:t>
      </w:r>
      <w:r>
        <w:rPr>
          <w:rFonts w:ascii="宋体" w:hAnsi="宋体" w:cs="宋体"/>
          <w:color w:val="000000"/>
          <w:sz w:val="24"/>
        </w:rPr>
        <w:t xml:space="preserve"> </w:t>
      </w:r>
      <w:r>
        <w:rPr>
          <w:rFonts w:ascii="宋体" w:hAnsi="宋体" w:cs="宋体" w:hint="eastAsia"/>
          <w:color w:val="000000"/>
          <w:sz w:val="24"/>
        </w:rPr>
        <w:t>复调</w:t>
      </w:r>
      <w:r>
        <w:rPr>
          <w:rFonts w:ascii="宋体" w:hAnsi="宋体" w:cs="宋体"/>
          <w:color w:val="000000"/>
          <w:sz w:val="24"/>
        </w:rPr>
        <w:t xml:space="preserve"> </w:t>
      </w:r>
      <w:r>
        <w:rPr>
          <w:rFonts w:ascii="宋体" w:hAnsi="宋体" w:cs="宋体" w:hint="eastAsia"/>
          <w:color w:val="000000"/>
          <w:sz w:val="24"/>
        </w:rPr>
        <w:t>悖谬</w:t>
      </w:r>
      <w:r>
        <w:rPr>
          <w:rFonts w:ascii="宋体" w:hAnsi="宋体" w:cs="宋体"/>
          <w:color w:val="000000"/>
          <w:sz w:val="24"/>
        </w:rPr>
        <w:t xml:space="preserve"> </w:t>
      </w:r>
      <w:r>
        <w:rPr>
          <w:rFonts w:ascii="宋体" w:hAnsi="宋体" w:cs="宋体" w:hint="eastAsia"/>
          <w:color w:val="000000"/>
          <w:sz w:val="24"/>
        </w:rPr>
        <w:t>整一性</w:t>
      </w:r>
      <w:r>
        <w:rPr>
          <w:rFonts w:ascii="宋体" w:hAnsi="宋体" w:cs="宋体"/>
          <w:color w:val="000000"/>
          <w:sz w:val="24"/>
        </w:rPr>
        <w:t xml:space="preserve"> </w:t>
      </w:r>
    </w:p>
    <w:p w:rsidR="005339DA" w:rsidRDefault="005339DA">
      <w:pPr>
        <w:spacing w:line="360" w:lineRule="auto"/>
        <w:ind w:firstLine="465"/>
        <w:rPr>
          <w:rFonts w:ascii="宋体" w:cs="宋体"/>
          <w:color w:val="000000"/>
          <w:sz w:val="24"/>
        </w:rPr>
      </w:pPr>
    </w:p>
    <w:p w:rsidR="005339DA" w:rsidRDefault="005339DA">
      <w:pPr>
        <w:spacing w:line="360" w:lineRule="auto"/>
        <w:ind w:firstLine="465"/>
        <w:jc w:val="center"/>
        <w:rPr>
          <w:rFonts w:ascii="Times New Roman" w:hAnsi="Times New Roman"/>
          <w:b/>
          <w:bCs/>
          <w:color w:val="000000"/>
          <w:sz w:val="28"/>
          <w:szCs w:val="28"/>
        </w:rPr>
      </w:pPr>
      <w:r>
        <w:rPr>
          <w:rFonts w:ascii="Times New Roman" w:hAnsi="Times New Roman"/>
          <w:b/>
          <w:bCs/>
          <w:color w:val="000000"/>
          <w:sz w:val="28"/>
          <w:szCs w:val="28"/>
        </w:rPr>
        <w:t xml:space="preserve">On the breakthrough of </w:t>
      </w:r>
      <w:proofErr w:type="spellStart"/>
      <w:r>
        <w:rPr>
          <w:rFonts w:ascii="Times New Roman" w:hAnsi="Times New Roman"/>
          <w:b/>
          <w:bCs/>
          <w:color w:val="000000"/>
          <w:sz w:val="28"/>
          <w:szCs w:val="28"/>
        </w:rPr>
        <w:t>intertextuality</w:t>
      </w:r>
      <w:proofErr w:type="spellEnd"/>
      <w:r>
        <w:rPr>
          <w:rFonts w:ascii="Times New Roman" w:hAnsi="Times New Roman"/>
          <w:b/>
          <w:bCs/>
          <w:color w:val="000000"/>
          <w:sz w:val="28"/>
          <w:szCs w:val="28"/>
        </w:rPr>
        <w:t xml:space="preserve">: Taking the drama adaptation of </w:t>
      </w:r>
      <w:r>
        <w:rPr>
          <w:rFonts w:ascii="Times New Roman" w:hAnsi="Times New Roman"/>
          <w:b/>
          <w:bCs/>
          <w:i/>
          <w:color w:val="000000"/>
          <w:sz w:val="28"/>
          <w:szCs w:val="28"/>
        </w:rPr>
        <w:t>Don Quixote</w:t>
      </w:r>
      <w:r>
        <w:rPr>
          <w:rFonts w:ascii="Times New Roman" w:hAnsi="Times New Roman"/>
          <w:b/>
          <w:bCs/>
          <w:color w:val="000000"/>
          <w:sz w:val="28"/>
          <w:szCs w:val="28"/>
        </w:rPr>
        <w:t xml:space="preserve"> and </w:t>
      </w:r>
      <w:r>
        <w:rPr>
          <w:rFonts w:ascii="Times New Roman" w:hAnsi="Times New Roman"/>
          <w:b/>
          <w:bCs/>
          <w:i/>
          <w:color w:val="000000"/>
          <w:sz w:val="28"/>
          <w:szCs w:val="28"/>
        </w:rPr>
        <w:t>The Dust Has Fallen</w:t>
      </w:r>
      <w:r>
        <w:rPr>
          <w:rFonts w:ascii="Times New Roman" w:hAnsi="Times New Roman"/>
          <w:b/>
          <w:bCs/>
          <w:color w:val="000000"/>
          <w:sz w:val="28"/>
          <w:szCs w:val="28"/>
        </w:rPr>
        <w:t xml:space="preserve"> as an example</w:t>
      </w:r>
    </w:p>
    <w:p w:rsidR="005339DA" w:rsidRDefault="00C557E8">
      <w:pPr>
        <w:spacing w:line="360" w:lineRule="auto"/>
        <w:ind w:firstLine="465"/>
        <w:rPr>
          <w:rFonts w:ascii="Times New Roman" w:hAnsi="Times New Roman"/>
          <w:color w:val="000000"/>
          <w:sz w:val="18"/>
          <w:szCs w:val="18"/>
        </w:rPr>
      </w:pPr>
      <w:r>
        <w:rPr>
          <w:rFonts w:ascii="Times New Roman" w:hAnsi="Times New Roman" w:hint="eastAsia"/>
          <w:b/>
          <w:bCs/>
          <w:color w:val="000000"/>
          <w:sz w:val="24"/>
        </w:rPr>
        <w:t xml:space="preserve"> </w:t>
      </w:r>
    </w:p>
    <w:p w:rsidR="005339DA" w:rsidRDefault="005339DA">
      <w:pPr>
        <w:spacing w:line="360" w:lineRule="auto"/>
        <w:ind w:firstLineChars="200" w:firstLine="420"/>
        <w:rPr>
          <w:rFonts w:ascii="Times New Roman" w:hAnsi="Times New Roman"/>
          <w:color w:val="000000"/>
          <w:szCs w:val="21"/>
        </w:rPr>
      </w:pPr>
    </w:p>
    <w:p w:rsidR="005339DA" w:rsidRDefault="005339DA">
      <w:pPr>
        <w:spacing w:line="360" w:lineRule="auto"/>
        <w:ind w:firstLineChars="200" w:firstLine="482"/>
        <w:rPr>
          <w:rFonts w:ascii="Times New Roman" w:hAnsi="Times New Roman"/>
          <w:color w:val="000000"/>
          <w:szCs w:val="21"/>
        </w:rPr>
      </w:pPr>
      <w:proofErr w:type="spellStart"/>
      <w:r>
        <w:rPr>
          <w:rFonts w:eastAsia="黑体"/>
          <w:b/>
          <w:sz w:val="24"/>
        </w:rPr>
        <w:t>Abstract:</w:t>
      </w:r>
      <w:r>
        <w:rPr>
          <w:rFonts w:ascii="Times New Roman" w:hAnsi="Times New Roman"/>
          <w:color w:val="000000"/>
          <w:szCs w:val="21"/>
        </w:rPr>
        <w:t>The</w:t>
      </w:r>
      <w:proofErr w:type="spellEnd"/>
      <w:r>
        <w:rPr>
          <w:rFonts w:ascii="Times New Roman" w:hAnsi="Times New Roman"/>
          <w:color w:val="000000"/>
          <w:szCs w:val="21"/>
        </w:rPr>
        <w:t xml:space="preserve"> Chinese musical </w:t>
      </w:r>
      <w:r>
        <w:rPr>
          <w:rFonts w:ascii="Times New Roman" w:hAnsi="Times New Roman"/>
          <w:i/>
          <w:iCs/>
          <w:color w:val="000000"/>
          <w:szCs w:val="21"/>
        </w:rPr>
        <w:t>Don Quixote</w:t>
      </w:r>
      <w:r>
        <w:rPr>
          <w:rFonts w:ascii="Times New Roman" w:hAnsi="Times New Roman"/>
          <w:color w:val="000000"/>
          <w:szCs w:val="21"/>
        </w:rPr>
        <w:t xml:space="preserve"> and the drama </w:t>
      </w:r>
      <w:r>
        <w:rPr>
          <w:rFonts w:ascii="Times New Roman" w:hAnsi="Times New Roman"/>
          <w:i/>
          <w:iCs/>
          <w:color w:val="000000"/>
          <w:szCs w:val="21"/>
        </w:rPr>
        <w:t>Dust Has Fallen</w:t>
      </w:r>
      <w:r>
        <w:rPr>
          <w:rFonts w:ascii="Times New Roman" w:hAnsi="Times New Roman"/>
          <w:color w:val="000000"/>
          <w:szCs w:val="21"/>
        </w:rPr>
        <w:t xml:space="preserve"> are more representative stage works in recent years. They are derived from literary classics, but they have won a relatively independent artistic character in the stage space. In these two art adaptation events, we can clearly see the </w:t>
      </w:r>
      <w:proofErr w:type="spellStart"/>
      <w:r>
        <w:rPr>
          <w:rFonts w:ascii="Times New Roman" w:hAnsi="Times New Roman"/>
          <w:color w:val="000000"/>
          <w:szCs w:val="21"/>
        </w:rPr>
        <w:t>intertextuality</w:t>
      </w:r>
      <w:proofErr w:type="spellEnd"/>
      <w:r>
        <w:rPr>
          <w:rFonts w:ascii="Times New Roman" w:hAnsi="Times New Roman"/>
          <w:color w:val="000000"/>
          <w:szCs w:val="21"/>
        </w:rPr>
        <w:t xml:space="preserve"> between novel and drama, which is full of time and space. More importantly, the cultivation of </w:t>
      </w:r>
      <w:proofErr w:type="spellStart"/>
      <w:r>
        <w:rPr>
          <w:rFonts w:ascii="Times New Roman" w:hAnsi="Times New Roman"/>
          <w:color w:val="000000"/>
          <w:szCs w:val="21"/>
        </w:rPr>
        <w:t>intertextuality</w:t>
      </w:r>
      <w:proofErr w:type="spellEnd"/>
      <w:r>
        <w:rPr>
          <w:rFonts w:ascii="Times New Roman" w:hAnsi="Times New Roman"/>
          <w:color w:val="000000"/>
          <w:szCs w:val="21"/>
        </w:rPr>
        <w:t xml:space="preserve"> is the transfer from polyphonic novel to drama, but at the same time, it is easy to fall into the paradox of poetry and truth in acceptance. In the context of "post Theatre", re advocating "unity" and "return to Chekhov" may be the way to break through this kind of </w:t>
      </w:r>
      <w:proofErr w:type="spellStart"/>
      <w:r>
        <w:rPr>
          <w:rFonts w:ascii="Times New Roman" w:hAnsi="Times New Roman"/>
          <w:color w:val="000000"/>
          <w:szCs w:val="21"/>
        </w:rPr>
        <w:t>intertextuality</w:t>
      </w:r>
      <w:proofErr w:type="spellEnd"/>
      <w:r>
        <w:rPr>
          <w:rFonts w:ascii="Times New Roman" w:hAnsi="Times New Roman"/>
          <w:color w:val="000000"/>
          <w:szCs w:val="21"/>
        </w:rPr>
        <w:t>.</w:t>
      </w:r>
    </w:p>
    <w:p w:rsidR="005339DA" w:rsidRDefault="005339DA">
      <w:pPr>
        <w:spacing w:line="360" w:lineRule="auto"/>
        <w:ind w:firstLineChars="200" w:firstLine="482"/>
        <w:rPr>
          <w:rFonts w:ascii="宋体" w:eastAsia="黑体" w:hAnsi="宋体" w:cs="宋体"/>
          <w:bCs/>
          <w:color w:val="000000"/>
          <w:sz w:val="24"/>
        </w:rPr>
      </w:pPr>
      <w:r>
        <w:rPr>
          <w:rFonts w:eastAsia="黑体"/>
          <w:b/>
          <w:sz w:val="24"/>
        </w:rPr>
        <w:t xml:space="preserve">Key </w:t>
      </w:r>
      <w:proofErr w:type="spellStart"/>
      <w:r>
        <w:rPr>
          <w:rFonts w:eastAsia="黑体"/>
          <w:b/>
          <w:sz w:val="24"/>
        </w:rPr>
        <w:t>words:</w:t>
      </w:r>
      <w:r>
        <w:rPr>
          <w:rFonts w:ascii="Times New Roman" w:hAnsi="Times New Roman"/>
          <w:color w:val="000000"/>
          <w:szCs w:val="21"/>
        </w:rPr>
        <w:t>intertextuality</w:t>
      </w:r>
      <w:proofErr w:type="spellEnd"/>
      <w:r>
        <w:rPr>
          <w:rFonts w:eastAsia="黑体"/>
          <w:bCs/>
          <w:sz w:val="24"/>
        </w:rPr>
        <w:t>, polyphony , paradoxical, unity.</w:t>
      </w:r>
    </w:p>
    <w:p w:rsidR="005339DA" w:rsidRDefault="005339DA">
      <w:pPr>
        <w:spacing w:line="360" w:lineRule="auto"/>
        <w:ind w:firstLineChars="200" w:firstLine="480"/>
        <w:rPr>
          <w:rFonts w:ascii="宋体" w:cs="宋体"/>
          <w:color w:val="000000"/>
          <w:sz w:val="24"/>
        </w:rPr>
      </w:pPr>
    </w:p>
    <w:p w:rsidR="005339DA" w:rsidRDefault="005339DA">
      <w:pPr>
        <w:spacing w:line="360" w:lineRule="auto"/>
        <w:ind w:firstLineChars="200" w:firstLine="420"/>
        <w:rPr>
          <w:rFonts w:ascii="宋体" w:cs="宋体"/>
          <w:color w:val="000000"/>
          <w:kern w:val="0"/>
          <w:szCs w:val="21"/>
          <w:shd w:val="clear" w:color="auto" w:fill="FFFFFF"/>
        </w:rPr>
      </w:pPr>
      <w:r>
        <w:rPr>
          <w:rFonts w:ascii="宋体" w:hAnsi="宋体" w:cs="宋体" w:hint="eastAsia"/>
          <w:color w:val="000000"/>
          <w:szCs w:val="21"/>
        </w:rPr>
        <w:t>《堂吉诃德》是西班牙作家塞万提斯的代表作品，也是外国文学中的经典之作，讲述一个因</w:t>
      </w:r>
      <w:r>
        <w:rPr>
          <w:rFonts w:ascii="宋体" w:hAnsi="宋体" w:cs="宋体" w:hint="eastAsia"/>
          <w:color w:val="000000"/>
          <w:szCs w:val="21"/>
          <w:shd w:val="clear" w:color="auto" w:fill="FFFFFF"/>
        </w:rPr>
        <w:t>沉迷骑士小说而走火入魔的“疯子”游走天下，做出了种种啼笑皆非的行径。</w:t>
      </w:r>
      <w:r>
        <w:rPr>
          <w:rFonts w:ascii="宋体" w:hAnsi="宋体" w:cs="宋体" w:hint="eastAsia"/>
          <w:color w:val="000000"/>
          <w:szCs w:val="21"/>
        </w:rPr>
        <w:t>《我，堂</w:t>
      </w:r>
      <w:r>
        <w:rPr>
          <w:rFonts w:ascii="宋体" w:hAnsi="宋体" w:cs="宋体" w:hint="eastAsia"/>
          <w:color w:val="000000"/>
          <w:szCs w:val="21"/>
        </w:rPr>
        <w:lastRenderedPageBreak/>
        <w:t>吉诃德》是美国百老汇经典音乐剧《</w:t>
      </w:r>
      <w:r>
        <w:rPr>
          <w:rFonts w:ascii="宋体" w:hAnsi="宋体" w:cs="宋体"/>
          <w:color w:val="000000"/>
          <w:kern w:val="0"/>
          <w:szCs w:val="21"/>
          <w:shd w:val="clear" w:color="auto" w:fill="FFFFFF"/>
        </w:rPr>
        <w:t>Man of La Mancha</w:t>
      </w:r>
      <w:r>
        <w:rPr>
          <w:rFonts w:ascii="宋体" w:hAnsi="宋体" w:cs="宋体" w:hint="eastAsia"/>
          <w:color w:val="000000"/>
          <w:szCs w:val="21"/>
        </w:rPr>
        <w:t>》的中文版，改编自小说《堂吉诃德》。《</w:t>
      </w:r>
      <w:r>
        <w:rPr>
          <w:rFonts w:ascii="宋体" w:hAnsi="宋体" w:cs="宋体"/>
          <w:color w:val="000000"/>
          <w:kern w:val="0"/>
          <w:szCs w:val="21"/>
          <w:shd w:val="clear" w:color="auto" w:fill="FFFFFF"/>
        </w:rPr>
        <w:t>Man of La Mancha</w:t>
      </w:r>
      <w:r>
        <w:rPr>
          <w:rFonts w:ascii="宋体" w:hAnsi="宋体" w:cs="宋体" w:hint="eastAsia"/>
          <w:color w:val="000000"/>
          <w:szCs w:val="21"/>
        </w:rPr>
        <w:t>》于</w:t>
      </w:r>
      <w:r>
        <w:rPr>
          <w:rFonts w:ascii="宋体" w:hAnsi="宋体" w:cs="宋体"/>
          <w:color w:val="000000"/>
          <w:kern w:val="0"/>
          <w:szCs w:val="21"/>
          <w:shd w:val="clear" w:color="auto" w:fill="FFFFFF"/>
        </w:rPr>
        <w:t>1965</w:t>
      </w:r>
      <w:r>
        <w:rPr>
          <w:rFonts w:ascii="宋体" w:hAnsi="宋体" w:cs="宋体" w:hint="eastAsia"/>
          <w:color w:val="000000"/>
          <w:kern w:val="0"/>
          <w:szCs w:val="21"/>
          <w:shd w:val="clear" w:color="auto" w:fill="FFFFFF"/>
        </w:rPr>
        <w:t>年</w:t>
      </w:r>
      <w:r>
        <w:rPr>
          <w:rFonts w:ascii="宋体" w:hAnsi="宋体" w:cs="宋体"/>
          <w:color w:val="000000"/>
          <w:kern w:val="0"/>
          <w:szCs w:val="21"/>
          <w:shd w:val="clear" w:color="auto" w:fill="FFFFFF"/>
        </w:rPr>
        <w:t>11</w:t>
      </w:r>
      <w:r>
        <w:rPr>
          <w:rFonts w:ascii="宋体" w:hAnsi="宋体" w:cs="宋体" w:hint="eastAsia"/>
          <w:color w:val="000000"/>
          <w:kern w:val="0"/>
          <w:szCs w:val="21"/>
          <w:shd w:val="clear" w:color="auto" w:fill="FFFFFF"/>
        </w:rPr>
        <w:t>月</w:t>
      </w:r>
      <w:r>
        <w:rPr>
          <w:rFonts w:ascii="宋体" w:hAnsi="宋体" w:cs="宋体"/>
          <w:color w:val="000000"/>
          <w:kern w:val="0"/>
          <w:szCs w:val="21"/>
          <w:shd w:val="clear" w:color="auto" w:fill="FFFFFF"/>
        </w:rPr>
        <w:t>22</w:t>
      </w:r>
      <w:r>
        <w:rPr>
          <w:rFonts w:ascii="宋体" w:hAnsi="宋体" w:cs="宋体" w:hint="eastAsia"/>
          <w:color w:val="000000"/>
          <w:kern w:val="0"/>
          <w:szCs w:val="21"/>
          <w:shd w:val="clear" w:color="auto" w:fill="FFFFFF"/>
        </w:rPr>
        <w:t>日首演，取得了极大的反响，在当年的托尼奖（</w:t>
      </w:r>
      <w:r>
        <w:rPr>
          <w:rFonts w:ascii="宋体" w:hAnsi="宋体" w:cs="宋体"/>
          <w:color w:val="000000"/>
          <w:kern w:val="0"/>
          <w:szCs w:val="21"/>
          <w:shd w:val="clear" w:color="auto" w:fill="FFFFFF"/>
        </w:rPr>
        <w:t>Tony Award</w:t>
      </w:r>
      <w:r>
        <w:rPr>
          <w:rFonts w:ascii="宋体" w:hAnsi="宋体" w:cs="宋体" w:hint="eastAsia"/>
          <w:color w:val="000000"/>
          <w:kern w:val="0"/>
          <w:szCs w:val="21"/>
          <w:shd w:val="clear" w:color="auto" w:fill="FFFFFF"/>
        </w:rPr>
        <w:t>）中获得七项提名，并摘得含最佳音乐剧在内的五项大奖。</w:t>
      </w:r>
      <w:r>
        <w:rPr>
          <w:rFonts w:ascii="宋体" w:hAnsi="宋体" w:cs="宋体"/>
          <w:color w:val="000000"/>
          <w:kern w:val="0"/>
          <w:szCs w:val="21"/>
          <w:shd w:val="clear" w:color="auto" w:fill="FFFFFF"/>
        </w:rPr>
        <w:t>2012</w:t>
      </w:r>
      <w:r>
        <w:rPr>
          <w:rFonts w:ascii="宋体" w:hAnsi="宋体" w:cs="宋体" w:hint="eastAsia"/>
          <w:color w:val="000000"/>
          <w:kern w:val="0"/>
          <w:szCs w:val="21"/>
          <w:shd w:val="clear" w:color="auto" w:fill="FFFFFF"/>
        </w:rPr>
        <w:t>年，这部世界名剧由七幕人生文化产业投资（北京）有限公司引进独家版权，在中国本土进行制作。中文版《我，堂吉诃德》基本延续了百老汇经典音乐剧的情节模式。《尘埃落定》是藏族作家</w:t>
      </w:r>
      <w:r w:rsidR="0013270A">
        <w:fldChar w:fldCharType="begin"/>
      </w:r>
      <w:r w:rsidR="0013270A">
        <w:instrText>HYPERLINK "https://baike.baidu.com/item/%E9%98%BF%E6%9D%A5/62818" \t "_blank"</w:instrText>
      </w:r>
      <w:r w:rsidR="0013270A">
        <w:fldChar w:fldCharType="separate"/>
      </w:r>
      <w:r>
        <w:rPr>
          <w:rFonts w:ascii="宋体" w:hAnsi="宋体" w:cs="宋体" w:hint="eastAsia"/>
          <w:color w:val="000000"/>
          <w:kern w:val="0"/>
          <w:szCs w:val="21"/>
          <w:shd w:val="clear" w:color="auto" w:fill="FFFFFF"/>
        </w:rPr>
        <w:t>阿来</w:t>
      </w:r>
      <w:r w:rsidR="0013270A">
        <w:fldChar w:fldCharType="end"/>
      </w:r>
      <w:r>
        <w:rPr>
          <w:rFonts w:ascii="宋体" w:hAnsi="宋体" w:cs="宋体" w:hint="eastAsia"/>
          <w:color w:val="000000"/>
          <w:kern w:val="0"/>
          <w:szCs w:val="21"/>
          <w:shd w:val="clear" w:color="auto" w:fill="FFFFFF"/>
        </w:rPr>
        <w:t>的长篇小说，小说描写一个显赫的康巴藏族土司的傻瓜儿子传奇的一生，他从被人轻视到成长为土司，最终成为土司制度兴衰的见证人。《尘埃落定》于</w:t>
      </w:r>
      <w:r>
        <w:rPr>
          <w:rFonts w:ascii="宋体" w:hAnsi="宋体" w:cs="宋体"/>
          <w:color w:val="000000"/>
          <w:kern w:val="0"/>
          <w:szCs w:val="21"/>
          <w:shd w:val="clear" w:color="auto" w:fill="FFFFFF"/>
        </w:rPr>
        <w:t>2000</w:t>
      </w:r>
      <w:r>
        <w:rPr>
          <w:rFonts w:ascii="宋体" w:hAnsi="宋体" w:cs="宋体" w:hint="eastAsia"/>
          <w:color w:val="000000"/>
          <w:kern w:val="0"/>
          <w:szCs w:val="21"/>
          <w:shd w:val="clear" w:color="auto" w:fill="FFFFFF"/>
        </w:rPr>
        <w:t>年获第五届</w:t>
      </w:r>
      <w:r w:rsidR="0013270A">
        <w:fldChar w:fldCharType="begin"/>
      </w:r>
      <w:r w:rsidR="0013270A">
        <w:instrText>HYPERLINK "https://baike.baidu.com/item/%E8%8C%85%E7%9B%BE%E6%96%87%E5%AD%A6%E5%A5%96" \t "_blank"</w:instrText>
      </w:r>
      <w:r w:rsidR="0013270A">
        <w:fldChar w:fldCharType="separate"/>
      </w:r>
      <w:r>
        <w:rPr>
          <w:rFonts w:ascii="宋体" w:hAnsi="宋体" w:cs="宋体" w:hint="eastAsia"/>
          <w:color w:val="000000"/>
          <w:kern w:val="0"/>
          <w:szCs w:val="21"/>
          <w:shd w:val="clear" w:color="auto" w:fill="FFFFFF"/>
        </w:rPr>
        <w:t>茅盾文学奖</w:t>
      </w:r>
      <w:r w:rsidR="0013270A">
        <w:fldChar w:fldCharType="end"/>
      </w:r>
      <w:r>
        <w:rPr>
          <w:rFonts w:ascii="宋体" w:hAnsi="宋体" w:cs="宋体" w:hint="eastAsia"/>
          <w:color w:val="000000"/>
          <w:kern w:val="0"/>
          <w:szCs w:val="21"/>
          <w:shd w:val="clear" w:color="auto" w:fill="FFFFFF"/>
        </w:rPr>
        <w:t>。《尘埃落定》独特的叙事、诗性的语言以及透露出生死虚空的世界观，让它拥有了藏版《红楼梦》的美名，已有川剧、歌剧、话剧多种改编形式。由曹路生编剧、胡宗琪导演的话剧《尘埃落定》是新近改编作品。</w:t>
      </w:r>
    </w:p>
    <w:p w:rsidR="005339DA" w:rsidRDefault="005339DA">
      <w:pPr>
        <w:spacing w:line="360" w:lineRule="auto"/>
        <w:ind w:firstLineChars="200" w:firstLine="420"/>
        <w:rPr>
          <w:rFonts w:ascii="宋体" w:cs="宋体"/>
          <w:color w:val="000000"/>
          <w:kern w:val="0"/>
          <w:szCs w:val="21"/>
          <w:shd w:val="clear" w:color="auto" w:fill="FFFFFF"/>
        </w:rPr>
      </w:pPr>
      <w:r>
        <w:rPr>
          <w:rFonts w:ascii="宋体" w:hAnsi="宋体" w:cs="宋体" w:hint="eastAsia"/>
          <w:color w:val="000000"/>
          <w:kern w:val="0"/>
          <w:szCs w:val="21"/>
          <w:shd w:val="clear" w:color="auto" w:fill="FFFFFF"/>
        </w:rPr>
        <w:t>从音乐剧《我，堂吉诃德》到话剧《尘埃落定》，有几个相似性：一是先文本都享有较高的知名度、较庞大的读者群，这就意味着它们搬上舞台之前就已经赢得了一定量的意向观众，也将获得更严峻的审视和挑战；二是先文本虽然都是长篇小说，但取胜之处却不在故事性而是浓重的诗性，体现在语言、叙事和结构等多方面。因此，其剧场性和诗性之间形成了较为典型的文化间性。</w:t>
      </w:r>
    </w:p>
    <w:p w:rsidR="005339DA" w:rsidRDefault="005339DA">
      <w:pPr>
        <w:spacing w:line="360" w:lineRule="auto"/>
        <w:ind w:firstLineChars="200" w:firstLine="420"/>
        <w:rPr>
          <w:rFonts w:ascii="宋体" w:cs="宋体"/>
          <w:color w:val="000000"/>
          <w:kern w:val="0"/>
          <w:sz w:val="24"/>
          <w:shd w:val="clear" w:color="auto" w:fill="FFFFFF"/>
        </w:rPr>
      </w:pPr>
      <w:r>
        <w:rPr>
          <w:rFonts w:ascii="宋体" w:hAnsi="宋体" w:cs="宋体" w:hint="eastAsia"/>
          <w:color w:val="000000"/>
          <w:szCs w:val="21"/>
        </w:rPr>
        <w:t>剧场性与诗性的争论，已经不仅仅只是戏剧内部的典型论争，实际上，它提示我们必须重视一种文化间性的养成，而这种间性的接受困境也亟待突破。剧作家自然会以丰沛的想象力来酿造故事，但改编文学名著仍旧是部分编剧自觉的艺术坚持。如果把呈现出的戏剧现场作为巨大的、完整的文本，那么被改编的文学名著则可以被视作先文本。有趣的是，先文本和文本并非绝对并列的“轨道式”存在，也不是此高彼低的“梯田式”呈现，更难以用鲜明而笃定的影响谱系来定义彼此，总之，它们尽管存在着文本语言的重叠、结构的挪移、形象的搬用甚至场景的抄写，但观众却仍然成为不了忠实的读者，而这种文化间性也时刻刺激着戏剧制作者的神经。</w:t>
      </w:r>
    </w:p>
    <w:p w:rsidR="005339DA" w:rsidRDefault="005339DA">
      <w:pPr>
        <w:spacing w:line="360" w:lineRule="auto"/>
        <w:rPr>
          <w:rFonts w:ascii="宋体" w:cs="宋体"/>
          <w:b/>
          <w:color w:val="000000"/>
          <w:sz w:val="24"/>
        </w:rPr>
      </w:pPr>
      <w:r>
        <w:rPr>
          <w:rFonts w:ascii="宋体" w:hAnsi="宋体" w:cs="宋体" w:hint="eastAsia"/>
          <w:b/>
          <w:color w:val="000000"/>
          <w:sz w:val="24"/>
        </w:rPr>
        <w:t>一、互文性的养成：从文学到戏剧的“复调”转移</w:t>
      </w:r>
    </w:p>
    <w:p w:rsidR="005339DA" w:rsidRDefault="005339DA">
      <w:pPr>
        <w:widowControl/>
        <w:shd w:val="clear" w:color="auto" w:fill="FFFFFF"/>
        <w:spacing w:line="360" w:lineRule="auto"/>
        <w:ind w:firstLine="420"/>
        <w:jc w:val="left"/>
        <w:rPr>
          <w:rFonts w:ascii="宋体"/>
          <w:szCs w:val="21"/>
        </w:rPr>
      </w:pPr>
      <w:r>
        <w:rPr>
          <w:rFonts w:ascii="宋体" w:hAnsi="宋体" w:hint="eastAsia"/>
          <w:szCs w:val="21"/>
        </w:rPr>
        <w:t>经典艺术作品往往是复调的存在，无论是小说还是戏剧，用疯子堂吉诃德或傻子少爷的视角发现并表达世界，本身就是一种复调的叙事。巴赫金看到了小说的复调特征，实际上戏剧的复调叙事更显精妙：“社会生活的矛盾本质在这里应该表现得特别突出；与此同时，相互邂逅而失去思想平衡的多种世界，也应该特别充分特别鲜明地表现出自己的独特面貌。这样便创造了客观世界的前提，使复调小说在极大程度上获得了多元化和多声部性质。”</w:t>
      </w:r>
      <w:r>
        <w:rPr>
          <w:rFonts w:ascii="楷体" w:eastAsia="楷体" w:hAnsi="楷体" w:cs="楷体"/>
          <w:color w:val="000000"/>
          <w:szCs w:val="21"/>
          <w:vertAlign w:val="superscript"/>
        </w:rPr>
        <w:t>[1]24</w:t>
      </w:r>
    </w:p>
    <w:p w:rsidR="005339DA" w:rsidRDefault="005339DA">
      <w:pPr>
        <w:widowControl/>
        <w:shd w:val="clear" w:color="auto" w:fill="FFFFFF"/>
        <w:spacing w:line="360" w:lineRule="auto"/>
        <w:ind w:firstLine="420"/>
        <w:jc w:val="left"/>
        <w:rPr>
          <w:rFonts w:ascii="宋体" w:cs="宋体"/>
          <w:color w:val="000000"/>
          <w:szCs w:val="21"/>
        </w:rPr>
      </w:pPr>
      <w:r>
        <w:rPr>
          <w:rFonts w:ascii="宋体" w:hAnsi="宋体" w:cs="宋体" w:hint="eastAsia"/>
          <w:color w:val="000000"/>
          <w:szCs w:val="21"/>
        </w:rPr>
        <w:lastRenderedPageBreak/>
        <w:t>无论是音乐剧《哦，堂吉诃德》还是话剧《尘埃落定》在舞台上呈现时，都意味着完成了比较复杂的“复调”式的转移。从文学文本到戏剧作品，其间由于艺术特质的特殊性产生了较大的差异。即便两部舞台作品最大程度地“还原”或尊重原著，但依旧可以看到舞台上的复调空间：一是由原著小说所带来的叙事形象、结构、节奏，二是由剧场作为典型环境呈现出的声光电组合。复调的意义在于，作为文本基础上编织的故事时而浮于剧场基础上的技术表达之上，时而浮于剧场之下。其实，两部舞台作品首先在观众认知中试图建立幻象：“对于制造幻象这个目的而言，表现的完整性、甚至连续性都是不必要的，但是，以下这个原则却是必不可少的：在剧场里，被感知的东西必须相互联系，构成一个‘世界’，一个整体。整体、幻象、世界表现是</w:t>
      </w:r>
      <w:r>
        <w:rPr>
          <w:rFonts w:ascii="宋体" w:hAnsi="宋体" w:cs="宋体"/>
          <w:color w:val="000000"/>
          <w:szCs w:val="21"/>
        </w:rPr>
        <w:t>‘</w:t>
      </w:r>
      <w:r>
        <w:rPr>
          <w:rFonts w:ascii="宋体" w:hAnsi="宋体" w:cs="宋体" w:hint="eastAsia"/>
          <w:color w:val="000000"/>
          <w:szCs w:val="21"/>
        </w:rPr>
        <w:t>戏剧</w:t>
      </w:r>
      <w:r>
        <w:rPr>
          <w:rFonts w:ascii="宋体" w:hAnsi="宋体" w:cs="宋体"/>
          <w:color w:val="000000"/>
          <w:szCs w:val="21"/>
        </w:rPr>
        <w:t>’</w:t>
      </w:r>
      <w:r>
        <w:rPr>
          <w:rFonts w:ascii="宋体" w:hAnsi="宋体" w:cs="宋体" w:hint="eastAsia"/>
          <w:color w:val="000000"/>
          <w:szCs w:val="21"/>
        </w:rPr>
        <w:t>模式的基础。”</w:t>
      </w:r>
      <w:r>
        <w:rPr>
          <w:rFonts w:ascii="楷体" w:eastAsia="楷体" w:hAnsi="楷体" w:cs="楷体"/>
          <w:color w:val="000000"/>
          <w:szCs w:val="21"/>
          <w:vertAlign w:val="superscript"/>
        </w:rPr>
        <w:t xml:space="preserve"> [2]10</w:t>
      </w:r>
    </w:p>
    <w:p w:rsidR="005339DA" w:rsidRDefault="005339DA">
      <w:pPr>
        <w:widowControl/>
        <w:shd w:val="clear" w:color="auto" w:fill="FFFFFF"/>
        <w:spacing w:line="360" w:lineRule="auto"/>
        <w:ind w:firstLine="420"/>
        <w:jc w:val="left"/>
        <w:rPr>
          <w:rFonts w:ascii="宋体" w:cs="宋体"/>
          <w:color w:val="000000"/>
          <w:szCs w:val="21"/>
        </w:rPr>
      </w:pPr>
      <w:r>
        <w:rPr>
          <w:rFonts w:ascii="宋体" w:hAnsi="宋体" w:cs="宋体" w:hint="eastAsia"/>
          <w:color w:val="000000"/>
          <w:szCs w:val="21"/>
        </w:rPr>
        <w:t>首先，在文本向戏剧的转移过程中，人物由想象中的建构性符号演变为现实生活中的文化图式。对于小说作者塞万提斯和阿来而言，无论是堂吉诃德还是傻子少爷，都是现实生活中未曾出现过的形象，需要用相当充分的空间将两人演绎成坚实的符号体系。而对于两部剧的编导而言，需要将读者心中并不统一的人物想象还原成舞台上可观可感的真实人物，比还原小说作者心中的形象更为重要的是如何再现形象，以及通过何种方式再现。</w:t>
      </w:r>
    </w:p>
    <w:p w:rsidR="005339DA" w:rsidRDefault="005339DA">
      <w:pPr>
        <w:widowControl/>
        <w:shd w:val="clear" w:color="auto" w:fill="FFFFFF"/>
        <w:spacing w:line="360" w:lineRule="auto"/>
        <w:ind w:firstLine="420"/>
        <w:jc w:val="left"/>
        <w:rPr>
          <w:rFonts w:ascii="宋体" w:cs="宋体"/>
          <w:color w:val="000000"/>
          <w:spacing w:val="23"/>
          <w:szCs w:val="21"/>
          <w:shd w:val="clear" w:color="auto" w:fill="FFFFFF"/>
        </w:rPr>
      </w:pPr>
      <w:r>
        <w:rPr>
          <w:rFonts w:ascii="宋体" w:hAnsi="宋体" w:cs="宋体" w:hint="eastAsia"/>
          <w:color w:val="000000"/>
          <w:szCs w:val="21"/>
        </w:rPr>
        <w:t>堂吉诃德为人疯疯癫癫，做事真真假假，不断游离于理想和现实中间，是个无法被正常理解的形象，同时也被理解为一个真正清醒的智者。塞万提斯是按照自己的经历去塑造堂吉诃德的。这个半百的诗人、剧作家、小说家尝尽了世俗的不顺利之后，塑造一个半百的假骑士堂吉诃德，以疯狂的姿态充对于现世展开无尽的嘲讽。《我，堂吉诃德》全剧采用戏中戏的结构。以塞万提斯的遭遇开篇，塞万提斯冤入宗教法庭，为了免除候判所众人对塞万提斯的敌意和威胁，塞万提斯决定以演绎的方式向众位刑犯讲述《堂吉诃德》，演员时而是忧郁、正直、单纯的塞万提斯，摇身一变又成为阴郁、愚昧、疯狂的堂吉诃德。两条情节线索不断变换风格节奏，让人目不暇接，演出过程无死角、无缝隙，令人拍案叫绝。塞万提斯跳入跳出的节奏恰到好处，他是全剧的引导者，也带着候判所的众人跳入跳出，时而是麻木的旁观者，时而又是堂吉诃德故事中的庸碌之辈。塞万提斯时而讲述，时而扮演，时而还参与评论，促成观众对本剧的共鸣。</w:t>
      </w:r>
    </w:p>
    <w:p w:rsidR="005339DA" w:rsidRDefault="005339DA">
      <w:pPr>
        <w:spacing w:line="360" w:lineRule="auto"/>
        <w:ind w:firstLineChars="200" w:firstLine="420"/>
        <w:jc w:val="left"/>
        <w:rPr>
          <w:rFonts w:ascii="宋体" w:cs="宋体"/>
          <w:color w:val="000000"/>
          <w:szCs w:val="21"/>
        </w:rPr>
      </w:pPr>
      <w:r>
        <w:rPr>
          <w:rFonts w:ascii="宋体" w:hAnsi="宋体" w:cs="宋体" w:hint="eastAsia"/>
          <w:color w:val="000000"/>
          <w:szCs w:val="21"/>
        </w:rPr>
        <w:t>塞万提斯作为戏中人的身份出现，既取材于塞万提斯曾经入狱的真实经历，同时由于塞万提斯是堂吉诃德形象的缔造者，由他来讲述堂吉诃德更容易赢得信任感。更为重要的是，塞万提斯是另外一个堂吉诃德。剧中刻意形成这样的“对话”关系。塞万提斯与仆人，恰似堂吉诃德和桑丘。在其他人眼中，看待塞万提斯的方式和看待堂吉诃德的方式并没有不同。全剧在复调叙述的进行过程中。对堂吉诃德的形象无疑存在一种“破”与“立”的博弈。在</w:t>
      </w:r>
      <w:r>
        <w:rPr>
          <w:rFonts w:ascii="宋体" w:hAnsi="宋体" w:cs="宋体" w:hint="eastAsia"/>
          <w:color w:val="000000"/>
          <w:szCs w:val="21"/>
        </w:rPr>
        <w:lastRenderedPageBreak/>
        <w:t>众人以正常视角的围困下，堂吉诃德无疑是困兽犹斗的可怜伪骑士。</w:t>
      </w:r>
    </w:p>
    <w:p w:rsidR="005339DA" w:rsidRDefault="005339DA">
      <w:pPr>
        <w:spacing w:line="360" w:lineRule="auto"/>
        <w:ind w:firstLineChars="200" w:firstLine="420"/>
        <w:jc w:val="left"/>
        <w:rPr>
          <w:rFonts w:ascii="宋体" w:cs="宋体"/>
          <w:color w:val="000000"/>
          <w:szCs w:val="21"/>
        </w:rPr>
      </w:pPr>
      <w:r>
        <w:rPr>
          <w:rFonts w:ascii="宋体" w:hAnsi="宋体" w:cs="宋体" w:hint="eastAsia"/>
          <w:color w:val="000000"/>
          <w:szCs w:val="21"/>
        </w:rPr>
        <w:t>《尘埃落定》一剧则近似于戏中戏，虽然傻子少爷全程都是剧中角色，但同时又作为剧情的旁观者、评论者，是间离性的存在。傻子少爷的饰演者杨正彝是中央戏剧学院在读学生，不仅与原著中人物真实年龄接近，更为重要的是，他几乎本色出演，就可以再现一种又冥顽不灵又世事洞明的状态。如此，他的生命在乱世中被摧毁，才有一种震撼人心的力量。</w:t>
      </w:r>
    </w:p>
    <w:p w:rsidR="005339DA" w:rsidRDefault="005339DA">
      <w:pPr>
        <w:spacing w:line="360" w:lineRule="auto"/>
        <w:ind w:firstLineChars="200" w:firstLine="420"/>
        <w:jc w:val="left"/>
        <w:rPr>
          <w:rFonts w:ascii="宋体" w:cs="宋体"/>
          <w:color w:val="000000"/>
          <w:szCs w:val="21"/>
        </w:rPr>
      </w:pPr>
      <w:r>
        <w:rPr>
          <w:rFonts w:ascii="宋体" w:hAnsi="宋体" w:cs="宋体" w:hint="eastAsia"/>
          <w:color w:val="000000"/>
          <w:szCs w:val="21"/>
        </w:rPr>
        <w:t>复调转移之二，在于叙事视角的转移。在小说中，无论是单线叙事、双线叙事还是多线叙事，都需要足够多的细节作为铺垫，而戏剧则可以追求看似散乱却更快的节奏变化。</w:t>
      </w:r>
    </w:p>
    <w:p w:rsidR="005339DA" w:rsidRDefault="005339DA">
      <w:pPr>
        <w:spacing w:line="360" w:lineRule="auto"/>
        <w:ind w:firstLineChars="200" w:firstLine="420"/>
        <w:jc w:val="left"/>
        <w:rPr>
          <w:rFonts w:ascii="宋体" w:cs="宋体"/>
          <w:color w:val="000000"/>
          <w:szCs w:val="21"/>
        </w:rPr>
      </w:pPr>
      <w:r>
        <w:rPr>
          <w:rFonts w:ascii="宋体" w:hAnsi="宋体" w:cs="宋体" w:hint="eastAsia"/>
          <w:color w:val="000000"/>
          <w:szCs w:val="21"/>
        </w:rPr>
        <w:t>《我，堂吉诃德》通过频繁切换叙事视角，通过有效的拼贴实现了剧情的丰富与多元吸引力。首先有堂吉诃德的视角，这也是剧中的第一视角。他看见风车就是怪兽，看见旅馆就是城堡，看见粗俗的妇女就是杜尔西尼娅。所有人对他费解，他存在的任务除了捍卫自己可贵、可怕的尊严之外，还有一个重要的任务就是拆解他人的不解。其次，有堂吉诃德侄女、侄女婿及其他正常人的世俗视角。在这些正常人眼里，堂吉诃德的世界呈现出了悖谬的状态。他无比荒诞，离家出走，他的旅程所遇见的人全都是正常人，这就是堂吉诃德真正的悲剧所在。堂吉诃德身处孤岛式的悲剧，属于被观看被把玩的悲剧，却不以为然，依旧执迷不悔。再次，还有桑丘游离于世俗和理想主义之间的复杂视角。桑丘是剧中较为单薄的形象，但桑丘的视角却有一定的复杂性。他并不能认同堂吉诃德的所作所为，他知道堂吉诃德所做的一切都是愚蠢的。但他却心甘情愿接受他的愚蠢。桑丘的角色在本剧出现之前，应该有一个较长的心理转变史，自然，舞台剧不负责表现这一点。最后，还有阿尔东莎处在运动中的视角。这个视角是最别致的一个视角。阿尔东莎由堂吉诃德的质疑者转变为支持者，又变成质疑者，最后成为支持者。舞台上，堂吉诃德眼中的杜尔西尼娅与阿尔东莎存在的巨大矛盾，她笑骂堂吉诃德的迂腐，最终芳心却被这个偏执的理想主义者所俘获，并种下理想的种子，让阿尔东莎获得新生命。还有塞万提斯既是局外人又是局中人的复调视角。塞万提斯既是受害者，他被诬告进入宗教法庭，他需要辨明事实讲起了堂吉诃德的故事，他是堂吉诃德命运的操纵者。塞万提斯试图解释堂吉诃德的世界，又似乎不专注于解释。塞万提斯是参与到音乐剧中的角色，同时又是塑造堂吉诃德这个角色背后的旁观者，甘于倾听和分享。</w:t>
      </w:r>
    </w:p>
    <w:p w:rsidR="005339DA" w:rsidRDefault="005339DA">
      <w:pPr>
        <w:spacing w:line="360" w:lineRule="auto"/>
        <w:ind w:firstLineChars="200" w:firstLine="420"/>
        <w:jc w:val="left"/>
        <w:rPr>
          <w:rFonts w:ascii="宋体" w:cs="宋体"/>
          <w:color w:val="000000"/>
          <w:szCs w:val="21"/>
        </w:rPr>
      </w:pPr>
      <w:r>
        <w:rPr>
          <w:rFonts w:ascii="宋体" w:hAnsi="宋体" w:cs="宋体" w:hint="eastAsia"/>
          <w:color w:val="000000"/>
          <w:szCs w:val="21"/>
        </w:rPr>
        <w:t>同样，话剧《尘埃落定》中，</w:t>
      </w:r>
      <w:r>
        <w:rPr>
          <w:rFonts w:ascii="宋体" w:hAnsi="宋体" w:hint="eastAsia"/>
          <w:szCs w:val="21"/>
        </w:rPr>
        <w:t>男主角“傻子”有</w:t>
      </w:r>
      <w:r>
        <w:rPr>
          <w:rFonts w:ascii="宋体" w:hAnsi="宋体"/>
          <w:szCs w:val="21"/>
        </w:rPr>
        <w:t>18000</w:t>
      </w:r>
      <w:r>
        <w:rPr>
          <w:rFonts w:ascii="宋体" w:hAnsi="宋体" w:hint="eastAsia"/>
          <w:szCs w:val="21"/>
        </w:rPr>
        <w:t>字的台词。四万余字的话剧剧本几乎可以分为两半，一半是“傻子说”，一半是“他们说”。尽管无论是谁在说，都摆脱不了被诠释、被解读、被分享、被激越的宿命，但是诠释、解读、分享一个“傻子”的世界太困难，因此观众不必期待你的灵魂随时被启迪。话剧的魅力在人物，但本剧的中心人物是个傻子，并且他喋喋不休输出他的价值观；话剧的魅力在情节，但主创团队更希望展示的是元</w:t>
      </w:r>
      <w:r>
        <w:rPr>
          <w:rFonts w:ascii="宋体" w:hAnsi="宋体" w:hint="eastAsia"/>
          <w:szCs w:val="21"/>
        </w:rPr>
        <w:lastRenderedPageBreak/>
        <w:t>素而非</w:t>
      </w:r>
      <w:r>
        <w:rPr>
          <w:rFonts w:ascii="宋体" w:hint="eastAsia"/>
          <w:szCs w:val="21"/>
        </w:rPr>
        <w:t>“</w:t>
      </w:r>
      <w:r>
        <w:rPr>
          <w:rFonts w:ascii="宋体" w:hAnsi="宋体" w:hint="eastAsia"/>
          <w:szCs w:val="21"/>
        </w:rPr>
        <w:t>碰撞</w:t>
      </w:r>
      <w:r>
        <w:rPr>
          <w:rFonts w:ascii="宋体" w:hint="eastAsia"/>
          <w:szCs w:val="21"/>
        </w:rPr>
        <w:t>”</w:t>
      </w:r>
      <w:r>
        <w:rPr>
          <w:rFonts w:ascii="宋体" w:hAnsi="宋体" w:hint="eastAsia"/>
          <w:szCs w:val="21"/>
        </w:rPr>
        <w:t>；话剧的魅力在语言，但编剧几乎把能出彩的部分都交给了独白而不是对话。总之，即便以布莱希特叙事剧的视角观看，《尘埃落定》仍然不能被完全介入解读，究其原因，《尘埃落定》是沿着布莱希特叙事剧继续开拓的结果，是一类后布莱希特剧场，也是一种后戏剧剧场，拥有更多肉眼可见的文本与戏剧之间的</w:t>
      </w:r>
      <w:r>
        <w:rPr>
          <w:rFonts w:ascii="宋体" w:hint="eastAsia"/>
          <w:szCs w:val="21"/>
        </w:rPr>
        <w:t>“</w:t>
      </w:r>
      <w:r>
        <w:rPr>
          <w:rFonts w:ascii="宋体" w:hAnsi="宋体" w:hint="eastAsia"/>
          <w:szCs w:val="21"/>
        </w:rPr>
        <w:t>间性</w:t>
      </w:r>
      <w:r>
        <w:rPr>
          <w:rFonts w:ascii="宋体" w:hint="eastAsia"/>
          <w:szCs w:val="21"/>
        </w:rPr>
        <w:t>”</w:t>
      </w:r>
      <w:r>
        <w:rPr>
          <w:rFonts w:ascii="宋体" w:hAnsi="宋体" w:hint="eastAsia"/>
          <w:szCs w:val="21"/>
        </w:rPr>
        <w:t>：</w:t>
      </w:r>
      <w:r>
        <w:rPr>
          <w:rFonts w:ascii="宋体" w:hint="eastAsia"/>
          <w:szCs w:val="21"/>
        </w:rPr>
        <w:t>“</w:t>
      </w:r>
      <w:r>
        <w:rPr>
          <w:rFonts w:ascii="宋体" w:hAnsi="宋体" w:hint="eastAsia"/>
          <w:szCs w:val="21"/>
        </w:rPr>
        <w:t>后戏剧剧场是后布莱希特剧场。布莱希特追问了被表现物中的表现过程的存现与意识，追寻着一种新的</w:t>
      </w:r>
      <w:r>
        <w:rPr>
          <w:rFonts w:ascii="宋体" w:hAnsi="宋体"/>
          <w:szCs w:val="21"/>
        </w:rPr>
        <w:t>‘</w:t>
      </w:r>
      <w:r>
        <w:rPr>
          <w:rFonts w:ascii="宋体" w:hAnsi="宋体" w:hint="eastAsia"/>
          <w:szCs w:val="21"/>
        </w:rPr>
        <w:t>观看艺术</w:t>
      </w:r>
      <w:r>
        <w:rPr>
          <w:rFonts w:ascii="宋体" w:hAnsi="宋体"/>
          <w:szCs w:val="21"/>
        </w:rPr>
        <w:t>’</w:t>
      </w:r>
      <w:r>
        <w:rPr>
          <w:rFonts w:ascii="宋体" w:hAnsi="宋体" w:hint="eastAsia"/>
          <w:szCs w:val="21"/>
        </w:rPr>
        <w:t>。在这种追问所开辟的空间里，后戏剧剧场产生了。</w:t>
      </w:r>
      <w:r>
        <w:rPr>
          <w:rFonts w:ascii="宋体" w:hint="eastAsia"/>
          <w:szCs w:val="21"/>
        </w:rPr>
        <w:t>”</w:t>
      </w:r>
      <w:r>
        <w:rPr>
          <w:rFonts w:ascii="楷体" w:eastAsia="楷体" w:hAnsi="楷体" w:cs="楷体"/>
          <w:color w:val="000000"/>
          <w:szCs w:val="21"/>
          <w:vertAlign w:val="superscript"/>
        </w:rPr>
        <w:t xml:space="preserve"> [2]10</w:t>
      </w:r>
    </w:p>
    <w:p w:rsidR="005339DA" w:rsidRDefault="005339DA">
      <w:pPr>
        <w:spacing w:line="360" w:lineRule="auto"/>
        <w:jc w:val="left"/>
        <w:rPr>
          <w:rFonts w:ascii="宋体" w:cs="宋体"/>
          <w:b/>
          <w:color w:val="000000"/>
          <w:sz w:val="24"/>
        </w:rPr>
      </w:pPr>
      <w:r>
        <w:rPr>
          <w:rFonts w:ascii="宋体" w:hAnsi="宋体" w:cs="宋体" w:hint="eastAsia"/>
          <w:b/>
          <w:color w:val="000000"/>
          <w:sz w:val="24"/>
        </w:rPr>
        <w:t>二、困境：诗与真的悖谬化呈现</w:t>
      </w:r>
    </w:p>
    <w:p w:rsidR="005339DA" w:rsidRDefault="005339DA">
      <w:pPr>
        <w:spacing w:line="360" w:lineRule="auto"/>
        <w:ind w:firstLineChars="200" w:firstLine="420"/>
        <w:rPr>
          <w:rFonts w:ascii="宋体"/>
          <w:szCs w:val="21"/>
        </w:rPr>
      </w:pPr>
      <w:r>
        <w:rPr>
          <w:rFonts w:ascii="宋体" w:hAnsi="宋体" w:cs="宋体" w:hint="eastAsia"/>
          <w:color w:val="000000"/>
          <w:szCs w:val="21"/>
        </w:rPr>
        <w:t>一个需要认清的事实是，原著《堂吉诃德》和《尘埃落定》并不是典型的小说文本，它们更专长于讲述的形式而非内容，更接近于诗文本而不是一般意义上的故事文本。《堂吉诃德》和《尘埃落定》中的人物都是符号性的存在，堂吉诃德、桑丘一路相随象征着理想主义和现实主义的相互缠绕，堂吉诃德的历险不仅只源于一个疯子的臆想症，更应该被看作与世俗世界的背离。《尘埃落定》中的傻子有既沉迷于一切的欲望，也有看穿一切的希望。然而，诗是无法被有限的空间穷尽的，舞台艺术更追求能被观众理解的“真实”。因此，我们可以看到，在语言和叙事两个层面，诗与真产生了深刻的悖谬。“</w:t>
      </w:r>
      <w:r>
        <w:rPr>
          <w:rFonts w:ascii="宋体" w:hAnsi="宋体" w:hint="eastAsia"/>
          <w:szCs w:val="21"/>
        </w:rPr>
        <w:t>如果我们不注意间离效果手法的艺术品质，就有可能在违背戏剧基本审美规律的同时，导致戏剧艺术性的下降，削弱戏剧的吸引力。</w:t>
      </w:r>
      <w:r>
        <w:rPr>
          <w:rFonts w:ascii="宋体" w:hint="eastAsia"/>
          <w:szCs w:val="21"/>
        </w:rPr>
        <w:t>”</w:t>
      </w:r>
      <w:r>
        <w:rPr>
          <w:rFonts w:ascii="楷体" w:eastAsia="楷体" w:hAnsi="楷体" w:cs="楷体"/>
          <w:color w:val="000000"/>
          <w:szCs w:val="21"/>
          <w:vertAlign w:val="superscript"/>
        </w:rPr>
        <w:t xml:space="preserve"> [3]198</w:t>
      </w:r>
    </w:p>
    <w:p w:rsidR="005339DA" w:rsidRDefault="005339DA">
      <w:pPr>
        <w:spacing w:line="360" w:lineRule="auto"/>
        <w:ind w:firstLineChars="200" w:firstLine="420"/>
        <w:jc w:val="left"/>
        <w:rPr>
          <w:rFonts w:ascii="宋体" w:cs="宋体"/>
          <w:color w:val="000000"/>
          <w:szCs w:val="21"/>
        </w:rPr>
      </w:pPr>
      <w:r>
        <w:rPr>
          <w:rFonts w:ascii="宋体" w:hAnsi="宋体" w:cs="宋体" w:hint="eastAsia"/>
          <w:color w:val="000000"/>
          <w:szCs w:val="21"/>
        </w:rPr>
        <w:t>小说与戏剧都是对话的艺术，然而，由于小说作者可以根据故事发展需要随意制造空间，而剧作家则必须首先知晓舞台的限性，以及在此前提之下空间的有限性。戏剧必须充分利用舞台空间，因此戏剧不能只依赖对白，还要充分利用独白。有趣的是，小说的独白和对白也曾被克里斯蒂娃称之为“双值”结构：“在狂欢语言的结构中，对话结构显得最明显，其中的象征关系和类比关系优先于实体</w:t>
      </w:r>
      <w:r>
        <w:rPr>
          <w:rFonts w:ascii="宋体" w:cs="宋体"/>
          <w:color w:val="000000"/>
          <w:szCs w:val="21"/>
        </w:rPr>
        <w:t>-</w:t>
      </w:r>
      <w:r>
        <w:rPr>
          <w:rFonts w:ascii="宋体" w:hAnsi="宋体" w:cs="宋体" w:hint="eastAsia"/>
          <w:color w:val="000000"/>
          <w:szCs w:val="21"/>
        </w:rPr>
        <w:t>因果（</w:t>
      </w:r>
      <w:r>
        <w:rPr>
          <w:rFonts w:ascii="宋体" w:hAnsi="宋体" w:cs="宋体"/>
          <w:color w:val="000000"/>
          <w:szCs w:val="21"/>
        </w:rPr>
        <w:t>substance-</w:t>
      </w:r>
      <w:proofErr w:type="spellStart"/>
      <w:r>
        <w:rPr>
          <w:rFonts w:ascii="宋体" w:hAnsi="宋体" w:cs="宋体"/>
          <w:color w:val="000000"/>
          <w:szCs w:val="21"/>
        </w:rPr>
        <w:t>causalit</w:t>
      </w:r>
      <w:proofErr w:type="spellEnd"/>
      <w:r>
        <w:rPr>
          <w:rFonts w:ascii="宋体" w:hAnsi="宋体" w:cs="宋体" w:hint="eastAsia"/>
          <w:color w:val="000000"/>
          <w:szCs w:val="21"/>
        </w:rPr>
        <w:t>é）关系。双值性的概念将应用于人们在小说结构中观察到的两种空间的交替：对话空间与独白空间的交替。”</w:t>
      </w:r>
      <w:r>
        <w:rPr>
          <w:rFonts w:ascii="楷体" w:eastAsia="楷体" w:hAnsi="楷体" w:cs="楷体"/>
          <w:color w:val="000000"/>
          <w:szCs w:val="21"/>
          <w:vertAlign w:val="superscript"/>
        </w:rPr>
        <w:t xml:space="preserve"> [4]96</w:t>
      </w:r>
      <w:r>
        <w:rPr>
          <w:rFonts w:ascii="宋体" w:hAnsi="宋体" w:cs="宋体" w:hint="eastAsia"/>
          <w:color w:val="000000"/>
          <w:szCs w:val="21"/>
        </w:rPr>
        <w:t>如果说，双值结构给文本带来的是更多的开放性和更便捷的交际讯息，那么基于文本之上的舞台呈现则不仅有对话和独白交替的双值性，同时还要体现表现场域的多层性，并且以极其具象地方式呈现出来。因此，小说文本和戏剧文本有一个根本的悖谬化症结在于对以小说文本代表的纯文学文本的“诗性”与戏剧文本所代表的多维“真实”的矛盾冲突。</w:t>
      </w:r>
    </w:p>
    <w:p w:rsidR="005339DA" w:rsidRDefault="005339DA">
      <w:pPr>
        <w:spacing w:line="360" w:lineRule="auto"/>
        <w:ind w:firstLineChars="200" w:firstLine="420"/>
        <w:jc w:val="left"/>
        <w:rPr>
          <w:rFonts w:ascii="宋体"/>
          <w:szCs w:val="21"/>
        </w:rPr>
      </w:pPr>
      <w:r>
        <w:rPr>
          <w:rFonts w:ascii="宋体" w:hAnsi="宋体" w:cs="宋体" w:hint="eastAsia"/>
          <w:color w:val="000000"/>
          <w:szCs w:val="21"/>
        </w:rPr>
        <w:t>《我，堂吉诃德》的英文剧本翻译成中文用了三年的时间，翻译的难点与重点毫无疑问都集中在唱词中。《我，堂吉诃德》在两个层面上，并没有脱离诗性，甚至有意制造唱词的空间性以求得诗意之境。一是疏离感，即与日常白话形成强烈反差的另一种可能。译者将百老汇的唱词改成文言文形式，瞬间有一种让人物更有特色的力量。如堂吉诃德的唱词“</w:t>
      </w:r>
      <w:r>
        <w:rPr>
          <w:rFonts w:ascii="宋体" w:hAnsi="宋体" w:hint="eastAsia"/>
          <w:szCs w:val="21"/>
        </w:rPr>
        <w:t>金头</w:t>
      </w:r>
      <w:r>
        <w:rPr>
          <w:rFonts w:ascii="宋体" w:hAnsi="宋体" w:hint="eastAsia"/>
          <w:szCs w:val="21"/>
        </w:rPr>
        <w:lastRenderedPageBreak/>
        <w:t>盔呀，金头盔呀，汝之风采世无双，我愿与汝一同前往，铸造历史新辉煌。”其中，“汝之风采世无双”“我愿与汝一同前往”是典型文言式表达，在当前语境下接受起来较为尴尬，但由堂吉诃德说出却显得十分妥帖。这个迂腐的骑士，必然要用一种“过去的”姿态出现在世人面前，更显得他的“遗世孤立”。</w:t>
      </w:r>
      <w:r>
        <w:rPr>
          <w:rFonts w:ascii="宋体" w:hAnsi="宋体" w:cs="宋体" w:hint="eastAsia"/>
          <w:color w:val="000000"/>
          <w:szCs w:val="21"/>
        </w:rPr>
        <w:t>二是韵律感。从英语转换汉语也有一定的距离感，所以英语的诗性不代表汉语的诗性，而翻译唱词在这方面下足了功夫，不仅词尾合辙押韵，而且便于演唱，同时还有意境，符合东方美学的特点：</w:t>
      </w:r>
      <w:r>
        <w:rPr>
          <w:rFonts w:ascii="宋体" w:hAnsi="宋体" w:hint="eastAsia"/>
          <w:szCs w:val="21"/>
        </w:rPr>
        <w:t>“杜尔西尼娅，杜尔西尼娅，好似清光洒落身畔，杜尔西尼娅！您的名恰若天国神圣的回音，</w:t>
      </w:r>
      <w:r>
        <w:rPr>
          <w:rFonts w:ascii="宋体" w:hAnsi="宋体"/>
          <w:szCs w:val="21"/>
        </w:rPr>
        <w:t>/</w:t>
      </w:r>
      <w:r>
        <w:rPr>
          <w:rFonts w:ascii="宋体" w:hAnsi="宋体" w:hint="eastAsia"/>
          <w:szCs w:val="21"/>
        </w:rPr>
        <w:t>杜尔西尼娅，杜尔西尼娅。”</w:t>
      </w:r>
    </w:p>
    <w:p w:rsidR="005339DA" w:rsidRDefault="005339DA">
      <w:pPr>
        <w:spacing w:line="360" w:lineRule="auto"/>
        <w:ind w:firstLineChars="200" w:firstLine="420"/>
        <w:jc w:val="left"/>
        <w:rPr>
          <w:rFonts w:ascii="宋体" w:cs="宋体"/>
          <w:color w:val="000000"/>
          <w:szCs w:val="21"/>
        </w:rPr>
      </w:pPr>
      <w:r>
        <w:rPr>
          <w:rFonts w:ascii="宋体" w:hAnsi="宋体" w:cs="宋体" w:hint="eastAsia"/>
          <w:color w:val="000000"/>
          <w:szCs w:val="21"/>
        </w:rPr>
        <w:t>《尘埃落定》则以</w:t>
      </w:r>
      <w:r>
        <w:rPr>
          <w:rFonts w:ascii="宋体" w:cs="宋体" w:hint="eastAsia"/>
          <w:color w:val="000000"/>
          <w:szCs w:val="21"/>
        </w:rPr>
        <w:t>“</w:t>
      </w:r>
      <w:r>
        <w:rPr>
          <w:rFonts w:ascii="宋体" w:hAnsi="宋体" w:cs="宋体" w:hint="eastAsia"/>
          <w:color w:val="000000"/>
          <w:szCs w:val="21"/>
        </w:rPr>
        <w:t>尊重原著</w:t>
      </w:r>
      <w:r>
        <w:rPr>
          <w:rFonts w:ascii="宋体" w:cs="宋体" w:hint="eastAsia"/>
          <w:color w:val="000000"/>
          <w:szCs w:val="21"/>
        </w:rPr>
        <w:t>”</w:t>
      </w:r>
      <w:r>
        <w:rPr>
          <w:rFonts w:ascii="宋体" w:hAnsi="宋体" w:cs="宋体" w:hint="eastAsia"/>
          <w:color w:val="000000"/>
          <w:szCs w:val="21"/>
        </w:rPr>
        <w:t>的姿态出现，一定程度地放弃了对戏剧真实的追求，因此台词所呈现出来的还是贯穿于原著的诗性叙事风格。《尘埃落定》的长项在诗性的叙事风格，绝不追求跌宕起伏。尽管此书粉丝众多，但仍旧可以被认作纯粹的小众的“文人书”。作为独立的文学作品存在，这一“缺点”似乎反而成为某种隐秘的招牌，甚至成为讲述民族秘史巧妙而精致的钥匙。傻子跳入跳出的独白，让小说现场不断赢得一种层次感。然而搬到话剧舞台上，对主创团队而言，是一种绝大的挑战。更为不凑巧的是，编剧曹路生教授有意在舞台上还原傻子独白，以傻子独白来贯穿全剧。固执的艺术坚持收获了好评：“不得不说，整部小说读起来浪漫得‘一塌糊涂’，是可以让读者沉浸与憧憬的美丽诗篇。同时也沉重得不能自拔，谁能结束这混沌野蛮践踏人性的世界？《尘埃落定》是一场久违的戏剧盛宴。土司文明末日余晖里的血色浪漫，像一曲凄迷的咏叹调，久久回荡在观众的心中。”</w:t>
      </w:r>
      <w:r>
        <w:rPr>
          <w:rFonts w:ascii="宋体" w:hAnsi="宋体" w:cs="宋体"/>
          <w:color w:val="000000"/>
          <w:szCs w:val="21"/>
        </w:rPr>
        <w:t xml:space="preserve"> [5]43-44</w:t>
      </w:r>
      <w:r>
        <w:rPr>
          <w:rFonts w:ascii="宋体" w:hAnsi="宋体" w:cs="宋体" w:hint="eastAsia"/>
          <w:color w:val="000000"/>
          <w:szCs w:val="21"/>
        </w:rPr>
        <w:t>陈军也认为：“该剧突破了现实主义的艺术风格，把灵性、神秘、非理性的东西展示了出来。”</w:t>
      </w:r>
      <w:r>
        <w:rPr>
          <w:rFonts w:ascii="宋体" w:hAnsi="宋体" w:cs="宋体"/>
          <w:color w:val="000000"/>
          <w:szCs w:val="21"/>
        </w:rPr>
        <w:t>[6]32</w:t>
      </w:r>
    </w:p>
    <w:p w:rsidR="005339DA" w:rsidRDefault="005339DA">
      <w:pPr>
        <w:spacing w:line="360" w:lineRule="auto"/>
        <w:ind w:firstLineChars="200" w:firstLine="420"/>
        <w:jc w:val="left"/>
        <w:rPr>
          <w:rFonts w:ascii="宋体" w:cs="宋体"/>
          <w:color w:val="000000"/>
          <w:szCs w:val="21"/>
        </w:rPr>
      </w:pPr>
      <w:r>
        <w:rPr>
          <w:rFonts w:ascii="宋体" w:hAnsi="宋体" w:cs="宋体" w:hint="eastAsia"/>
          <w:color w:val="000000"/>
          <w:szCs w:val="21"/>
        </w:rPr>
        <w:t>长久以来，我们已经习惯了在快节奏的社会中寻找激烈的叙事轨迹，三个半小时的话剧对于观众而言已是不小的挑战，男主人公</w:t>
      </w:r>
      <w:r>
        <w:rPr>
          <w:rFonts w:ascii="宋体" w:hAnsi="宋体" w:cs="宋体"/>
          <w:color w:val="000000"/>
          <w:szCs w:val="21"/>
        </w:rPr>
        <w:t>18000</w:t>
      </w:r>
      <w:r>
        <w:rPr>
          <w:rFonts w:ascii="宋体" w:hAnsi="宋体" w:cs="宋体" w:hint="eastAsia"/>
          <w:color w:val="000000"/>
          <w:szCs w:val="21"/>
        </w:rPr>
        <w:t>字不急不缓的独白，更是直接向观众的耐心开战。无论是导演还是编剧，他们似乎都并不急于向我们展开令人血脉贲张的戏剧冲突，他们似乎更注重舞台角色的“自在自为”</w:t>
      </w:r>
      <w:r>
        <w:rPr>
          <w:rFonts w:ascii="宋体" w:hAnsi="宋体" w:cs="宋体"/>
          <w:color w:val="000000"/>
          <w:szCs w:val="21"/>
        </w:rPr>
        <w:t>——</w:t>
      </w:r>
      <w:r>
        <w:rPr>
          <w:rFonts w:ascii="宋体" w:hAnsi="宋体" w:cs="宋体" w:hint="eastAsia"/>
          <w:color w:val="000000"/>
          <w:szCs w:val="21"/>
        </w:rPr>
        <w:t>这是一着相当危险的棋。同理，音乐剧《我，堂吉诃德》更为依赖每个人物的独白，而非对白。对戏剧性的挑战也就是对大众观众的挑战。众所周知，戏剧中的角色需要被赋予容易理解的线性意义才能反馈给观众以期待、以慰藉。由于戏剧现场的形象总是呈现着时而开放时而封闭的状态，如果不是对原著有所了解的观众，很难准确地介入现场。</w:t>
      </w:r>
    </w:p>
    <w:p w:rsidR="005339DA" w:rsidRDefault="005339DA">
      <w:pPr>
        <w:spacing w:line="360" w:lineRule="auto"/>
        <w:ind w:firstLineChars="200" w:firstLine="420"/>
        <w:jc w:val="left"/>
        <w:rPr>
          <w:rFonts w:ascii="宋体" w:cs="宋体"/>
          <w:color w:val="000000"/>
          <w:szCs w:val="21"/>
        </w:rPr>
      </w:pPr>
      <w:r>
        <w:rPr>
          <w:rFonts w:ascii="宋体" w:hAnsi="宋体" w:cs="宋体" w:hint="eastAsia"/>
          <w:color w:val="000000"/>
          <w:szCs w:val="21"/>
        </w:rPr>
        <w:t>除了语言之外，两部戏剧在塑造人物方面也和先文本存在着精神联系。戏剧是叙事的艺术，也是立人的艺术，如同人需要从蒙昧走向完整最终又归于混沌，戏剧中的角色成长也未尝不是斯芬克斯式的隐喻，主要人物往往必须要在情节中从四肢爬行到直立行走。然而，小</w:t>
      </w:r>
      <w:r>
        <w:rPr>
          <w:rFonts w:ascii="宋体" w:hAnsi="宋体" w:cs="宋体" w:hint="eastAsia"/>
          <w:color w:val="000000"/>
          <w:szCs w:val="21"/>
        </w:rPr>
        <w:lastRenderedPageBreak/>
        <w:t>说《尘埃落定》的主人公并不是线性生长的，而话剧《尘埃落定》也延续了这一塑造方式。傻子既痴呆又澄明，一出场就进入既定的符号状态，他时刻游离于世俗关系之外。相似的是，音乐剧《我，堂吉诃德》中的堂吉诃德则是以塞万提斯和堂吉诃德两个舞台形象来诠释，也是跳入跳出的形式来表达。然而，无论是先文本还是舞台文本，很难看到一个立体的、丰富的人物构型，在欣赏人物形象时，总是可以看到抒情性大于其故事性，编导团队似乎都并不准备真正脱离原文本而“另起炉灶”地重新塑造丰满的戏剧人物。</w:t>
      </w:r>
    </w:p>
    <w:p w:rsidR="005339DA" w:rsidRDefault="005339DA">
      <w:pPr>
        <w:spacing w:line="360" w:lineRule="auto"/>
        <w:rPr>
          <w:rFonts w:ascii="宋体"/>
          <w:szCs w:val="21"/>
        </w:rPr>
      </w:pPr>
      <w:r>
        <w:rPr>
          <w:rFonts w:ascii="宋体" w:hAnsi="宋体"/>
          <w:szCs w:val="21"/>
        </w:rPr>
        <w:t xml:space="preserve">    </w:t>
      </w:r>
      <w:r>
        <w:rPr>
          <w:rFonts w:ascii="宋体" w:hAnsi="宋体" w:hint="eastAsia"/>
          <w:szCs w:val="21"/>
        </w:rPr>
        <w:t>如果说音乐剧《我，堂吉诃德》还可以依靠作曲、演唱来增添该剧的吸引力，那么话剧《尘埃落定》的诗性坚持则显得有些落寞。在北京首演时，该剧获得了极大的关注，包括阿来在内的众多作家、学者赞誉无数。然而，辗转多地之后，该剧并没有引起太大的反响，而是争议声不断。</w:t>
      </w:r>
      <w:r>
        <w:rPr>
          <w:rFonts w:ascii="宋体" w:hAnsi="宋体"/>
          <w:szCs w:val="21"/>
        </w:rPr>
        <w:t>2021</w:t>
      </w:r>
      <w:r>
        <w:rPr>
          <w:rFonts w:ascii="宋体" w:hAnsi="宋体" w:hint="eastAsia"/>
          <w:szCs w:val="21"/>
        </w:rPr>
        <w:t>年清明节期间在杭州上演，上座率不足三成。如此看来，并不是戏剧与文本之间的间性影响了戏剧的发展和传播，而是戏剧与观剧主体产生了鲜明的文化间性，由此导致的接受困境值得被关注。</w:t>
      </w:r>
    </w:p>
    <w:p w:rsidR="005339DA" w:rsidRDefault="005339DA">
      <w:pPr>
        <w:spacing w:line="360" w:lineRule="auto"/>
        <w:rPr>
          <w:rFonts w:ascii="宋体"/>
          <w:b/>
          <w:sz w:val="24"/>
        </w:rPr>
      </w:pPr>
      <w:r>
        <w:rPr>
          <w:rFonts w:ascii="宋体" w:hAnsi="宋体" w:hint="eastAsia"/>
          <w:b/>
          <w:sz w:val="24"/>
        </w:rPr>
        <w:t>三、间性突破与融汇：“整一性”与回归“契诃夫”</w:t>
      </w:r>
    </w:p>
    <w:p w:rsidR="005339DA" w:rsidRDefault="005339DA">
      <w:pPr>
        <w:spacing w:line="360" w:lineRule="auto"/>
        <w:ind w:firstLineChars="245" w:firstLine="514"/>
        <w:jc w:val="left"/>
        <w:rPr>
          <w:rFonts w:ascii="宋体" w:cs="宋体"/>
          <w:color w:val="000000"/>
          <w:szCs w:val="21"/>
        </w:rPr>
      </w:pPr>
      <w:r>
        <w:rPr>
          <w:rFonts w:ascii="宋体" w:hAnsi="宋体" w:cs="宋体" w:hint="eastAsia"/>
          <w:color w:val="000000"/>
          <w:szCs w:val="21"/>
        </w:rPr>
        <w:t>我们不难看出，从先文本到舞台文本，从先文本的小说形象到舞台文本的舞台角色，从小说作者</w:t>
      </w:r>
      <w:r>
        <w:rPr>
          <w:rFonts w:ascii="宋体" w:cs="宋体"/>
          <w:color w:val="000000"/>
          <w:szCs w:val="21"/>
        </w:rPr>
        <w:t>-</w:t>
      </w:r>
      <w:r>
        <w:rPr>
          <w:rFonts w:ascii="宋体" w:hAnsi="宋体" w:cs="宋体" w:hint="eastAsia"/>
          <w:color w:val="000000"/>
          <w:szCs w:val="21"/>
        </w:rPr>
        <w:t>戏剧编导</w:t>
      </w:r>
      <w:r>
        <w:rPr>
          <w:rFonts w:ascii="宋体" w:cs="宋体"/>
          <w:color w:val="000000"/>
          <w:szCs w:val="21"/>
        </w:rPr>
        <w:t>-</w:t>
      </w:r>
      <w:r>
        <w:rPr>
          <w:rFonts w:ascii="宋体" w:hAnsi="宋体" w:cs="宋体" w:hint="eastAsia"/>
          <w:color w:val="000000"/>
          <w:szCs w:val="21"/>
        </w:rPr>
        <w:t>观众，从小说读者再到观众之间，形成了丰富的、奇妙的文化间性，这种间性的存在方式并非是割裂的孤立的呼应，而是充满了文化逻辑。</w:t>
      </w:r>
    </w:p>
    <w:p w:rsidR="005339DA" w:rsidRDefault="005339DA">
      <w:pPr>
        <w:spacing w:line="360" w:lineRule="auto"/>
        <w:ind w:firstLineChars="245" w:firstLine="514"/>
        <w:jc w:val="left"/>
        <w:rPr>
          <w:rFonts w:ascii="宋体"/>
          <w:b/>
          <w:szCs w:val="21"/>
        </w:rPr>
      </w:pPr>
      <w:r>
        <w:rPr>
          <w:rFonts w:ascii="宋体" w:hAnsi="宋体" w:cs="宋体" w:hint="eastAsia"/>
          <w:color w:val="000000"/>
          <w:szCs w:val="21"/>
        </w:rPr>
        <w:t>一是如何通过改编来服从戏剧法则的</w:t>
      </w:r>
      <w:r>
        <w:rPr>
          <w:rFonts w:ascii="宋体" w:cs="宋体" w:hint="eastAsia"/>
          <w:color w:val="000000"/>
          <w:szCs w:val="21"/>
        </w:rPr>
        <w:t>“</w:t>
      </w:r>
      <w:r>
        <w:rPr>
          <w:rFonts w:ascii="宋体" w:hAnsi="宋体" w:cs="宋体" w:hint="eastAsia"/>
          <w:color w:val="000000"/>
          <w:szCs w:val="21"/>
        </w:rPr>
        <w:t>整一性</w:t>
      </w:r>
      <w:r>
        <w:rPr>
          <w:rFonts w:ascii="宋体" w:cs="宋体" w:hint="eastAsia"/>
          <w:color w:val="000000"/>
          <w:szCs w:val="21"/>
        </w:rPr>
        <w:t>”</w:t>
      </w:r>
      <w:r>
        <w:rPr>
          <w:rFonts w:ascii="宋体" w:hAnsi="宋体" w:cs="宋体" w:hint="eastAsia"/>
          <w:color w:val="000000"/>
          <w:szCs w:val="21"/>
        </w:rPr>
        <w:t>。《我，堂吉诃德》的几处改编是颇有成效的。一是对部分人物也进行了改编，以桑丘为例。桑丘在小说中本来是个庸碌的现实主义者，他跟随堂吉诃德的主要目的是获取封地，虽然这一行为比堂吉诃德行侠仗义多了一些合理性，但却是作者鄙夷的部分，而到了小说结束，桑丘才实现了人物性格的转移和变化，他突然认定堂吉诃德是对的，而自己是错的，实现巧妙的反转。但在音乐剧中，桑丘誓死追随堂吉诃德，没有功利目的，是没道理的苦恋，如桑丘的唱词：</w:t>
      </w:r>
      <w:r>
        <w:rPr>
          <w:rFonts w:ascii="宋体" w:hAnsi="宋体" w:hint="eastAsia"/>
          <w:szCs w:val="21"/>
        </w:rPr>
        <w:t>“我喜欢他</w:t>
      </w:r>
      <w:r>
        <w:rPr>
          <w:rFonts w:ascii="宋体" w:hAnsi="宋体"/>
          <w:szCs w:val="21"/>
        </w:rPr>
        <w:t>/</w:t>
      </w:r>
      <w:r>
        <w:rPr>
          <w:rFonts w:ascii="宋体" w:hAnsi="宋体" w:hint="eastAsia"/>
          <w:szCs w:val="21"/>
        </w:rPr>
        <w:t>我喜欢他！我就是喜欢他！</w:t>
      </w:r>
      <w:r>
        <w:rPr>
          <w:rFonts w:ascii="宋体" w:hAnsi="宋体"/>
          <w:szCs w:val="21"/>
        </w:rPr>
        <w:t>/</w:t>
      </w:r>
      <w:r>
        <w:rPr>
          <w:rFonts w:ascii="宋体" w:hAnsi="宋体" w:hint="eastAsia"/>
          <w:szCs w:val="21"/>
        </w:rPr>
        <w:t>哪怕是上刀山下火坑，</w:t>
      </w:r>
      <w:r>
        <w:rPr>
          <w:rFonts w:ascii="宋体" w:hAnsi="宋体"/>
          <w:szCs w:val="21"/>
        </w:rPr>
        <w:t>/</w:t>
      </w:r>
      <w:r>
        <w:rPr>
          <w:rFonts w:ascii="宋体" w:hAnsi="宋体" w:hint="eastAsia"/>
          <w:szCs w:val="21"/>
        </w:rPr>
        <w:t>都陪他！</w:t>
      </w:r>
      <w:r>
        <w:rPr>
          <w:rFonts w:ascii="宋体" w:hAnsi="宋体"/>
          <w:szCs w:val="21"/>
        </w:rPr>
        <w:t>/</w:t>
      </w:r>
      <w:r>
        <w:rPr>
          <w:rFonts w:ascii="宋体" w:hAnsi="宋体" w:hint="eastAsia"/>
          <w:szCs w:val="21"/>
        </w:rPr>
        <w:t>要理由，倒也没啥理由，……把我剁了喂猪猡，案板上我还要，跟您掏个心窝，我稀罕他！”二是</w:t>
      </w:r>
      <w:r>
        <w:rPr>
          <w:rFonts w:ascii="宋体" w:hAnsi="宋体" w:cs="宋体" w:hint="eastAsia"/>
          <w:color w:val="000000"/>
          <w:szCs w:val="21"/>
        </w:rPr>
        <w:t>结局的改编。小说末尾，堂吉诃德孤独死去，他给侄女的遗言是，不要读骑士小说。而在本剧的末尾，堂吉诃德获得了一种精神上的圆满。桑丘陪在身边，并且求他再次出征，他的侄女、侄女婿，一大群乡亲们也都认可了堂吉诃德。甚至他心中的女神阿尔东莎也来了，并且真把自己当成了“杜尔西尼娅”。三是结构的改动。全剧抛弃了堂吉诃德小说中“游记”式不断变换场景的模式，只以旅馆作为全剧主要情节的发生地，剧中出现的“典型环境”是小说中欠缺的。这既是对舞台艺术规律的服从，也是考虑受众心理的体现。</w:t>
      </w:r>
    </w:p>
    <w:p w:rsidR="005339DA" w:rsidRDefault="005339DA">
      <w:pPr>
        <w:spacing w:line="360" w:lineRule="auto"/>
        <w:ind w:firstLineChars="100" w:firstLine="210"/>
        <w:rPr>
          <w:rFonts w:ascii="宋体"/>
          <w:szCs w:val="21"/>
        </w:rPr>
      </w:pPr>
      <w:r>
        <w:rPr>
          <w:rFonts w:ascii="宋体" w:hAnsi="宋体"/>
          <w:szCs w:val="21"/>
        </w:rPr>
        <w:lastRenderedPageBreak/>
        <w:t xml:space="preserve">  </w:t>
      </w:r>
      <w:r>
        <w:rPr>
          <w:rFonts w:ascii="宋体" w:hAnsi="宋体" w:hint="eastAsia"/>
          <w:szCs w:val="21"/>
        </w:rPr>
        <w:t>话剧《尘埃落定》也做出了有益的尝试。一是尽可能让人物独白陷入生活中而不是概念中。从小说到话剧，最难处理的就是情节如何浓缩和戏剧化。编剧曹路生对小说的敬畏之心也在舞台上彰显无遗，比起三个半小时的超长演出时间，高度压缩的情节给观众带来的辛苦可能会更多，考验也更大。原因在于，如果对比小说原著，你会发现编剧对于重要情节点几乎没有任何遗漏。胡宗琪导演也并不痴迷于渲染这些看起来不错的故事，而是始终采取多线并置的方式时刻让舞台处于一种“间离”效果，而不是紧绷感。编剧曹路生尽可能还原小说中傻子精彩的诗化语言，但也努力将其他人物的台词生活化、情境化。二是以高度符号化的呈现来达到整体性审美效果。原著中傻子少爷先后有两个侍女，一个叫卓玛，一个叫塔娜，而后来他迎娶的茸贡土司之女也叫塔娜。然而，话剧中将第二个侍女的戏份全部删去，并设计了三个卓玛：侍女卓玛、茸贡土司之女茸贡卓玛，还有在温泉一场中，少爷遇到草原上的女孩，也叫卓玛。仔细分析，可以明显感觉到这三个卓玛实际上是三位一体的符号系统：侍女卓玛是少爷曾经的记忆，给他带来性的启蒙，而对于傻子少爷而言，性启蒙也是他走向圆融的、成熟的成人世界必经之路。草原女孩卓玛给他的是性体验，体验就意味着一直进行并且不会有结果，象征着他永远不能满足的现在。茸贡卓玛则是他最完美的最理想的女人，然而，这个女人注定不是他能把握的，就像茸贡土司对傻子说的台词一样：“男人都一样，不管是聪明男人还是傻瓜男人。没有福气的人得到了不该得到的东西要倒大霉，卓玛这样的姑娘不是一般人能得到的。”在世俗世界里，傻子这样的继承者是没有未来的，然而无论是小说作者阿来还是编剧曹路生，似乎都在给傻子赋予种种的意义。他时而是一个愤世嫉俗者，时而是一个纵情纵欲者，时而是一个冷眼旁观者，时而又是一个痴顽呆愚者。三个不同身份、地位的女人，给傻子带来的是不同的人生，更为重要的是，她们帮观众看清傻子，同时也帮傻子看清聪明人所把控的世界。三是通过舞美设计实现写实与写意结合，以努力延展空间的多层意义。对于导演而言，面对小说式的剧作结构，他就必须在舞台呈现上挖空心思。写实与写意相间的舞台设计让全剧笼罩在现实与虚幻中。布景和道具的使用往往写实和写意合二为一：土司官寨既是较为写实的存在，但在某些时候又可以写意化。比如，在卓玛告知傻子少爷自己要和银匠结婚时，傻子少爷内心的不舍无法用恰如其分的言语来表达，这时舞美就起了很大的作用。卓玛慢慢抽身离去，站在悬梯上对傻子少爷深情凝望，傻子少爷试图抓住卓玛，但此时悬梯与少爷卧室缓缓分开，象征着两人此生彻底不再有交集。再如全剧尾声，土司官寨被夷为平地，傻子当土司的梦想被复仇者击碎，这时舞台上空投下鲜红的灯光，象征着生命最后的奔涌。随后，从天而降的陨石是壮观的所在：它是尘埃的具象化体现，当我们都以为尘埃是细小的时候，它可能既是微不足道的，然而尘埃落定的那一刻，有谁能拒绝</w:t>
      </w:r>
      <w:r>
        <w:rPr>
          <w:rFonts w:ascii="宋体" w:hAnsi="宋体" w:hint="eastAsia"/>
          <w:szCs w:val="21"/>
        </w:rPr>
        <w:lastRenderedPageBreak/>
        <w:t>它沉陷在俗世的安稳呢？人世间无处不尘埃，因此我们不就活在一个尘埃的宇宙中吗？尘埃如此震撼地呈现在我们面前，提醒我们，尽管它们往往被黑暗所藏匿，被光明晒干，但它们终将无处不在。</w:t>
      </w:r>
    </w:p>
    <w:p w:rsidR="005339DA" w:rsidRDefault="005339DA">
      <w:pPr>
        <w:spacing w:line="360" w:lineRule="auto"/>
        <w:ind w:firstLineChars="200" w:firstLine="420"/>
        <w:rPr>
          <w:rFonts w:ascii="宋体"/>
          <w:szCs w:val="21"/>
        </w:rPr>
      </w:pPr>
      <w:r>
        <w:rPr>
          <w:rFonts w:ascii="宋体" w:hAnsi="宋体" w:hint="eastAsia"/>
          <w:szCs w:val="21"/>
        </w:rPr>
        <w:t>二是通过反戏剧的方式“回归契诃夫”。艺术永远燃烧或煽动着叛逆的火苗，“反”总能带来突破和惊喜。音乐剧《我，堂吉诃德》和话剧《尘埃落定》无论从形式美学还是从精神指征上，都是有所建树的作品。它并不能让观众时刻处于“越界”的紧张和刺激，却总有一些声音、一些形象弥散不去；它似乎不具有史诗一泻千里的气魄，但却向我们铺开了一条通向精神秘境的红毯；它以诗的精魄起笔，最终展览的是人心艰涩而晦暗之处。这部话剧在人物塑造方面看似是无能的，但却更符合自然主义的手法，而不经意的艺术往往有“四两拨千斤”之效：它们没有过分追求高度的情节集中，过于模仿人物从幼稚到成熟的轨迹，过于依赖偶然事件的单线条塑造，因此也就避免成为一个普通的历史题材戏剧，而成为有特别价值的艺术作品。</w:t>
      </w:r>
    </w:p>
    <w:p w:rsidR="005339DA" w:rsidRDefault="005339DA">
      <w:pPr>
        <w:spacing w:line="360" w:lineRule="auto"/>
        <w:ind w:firstLine="480"/>
        <w:rPr>
          <w:rFonts w:ascii="宋体"/>
          <w:szCs w:val="21"/>
        </w:rPr>
      </w:pPr>
      <w:r>
        <w:rPr>
          <w:rFonts w:ascii="宋体" w:hAnsi="宋体" w:hint="eastAsia"/>
          <w:szCs w:val="21"/>
        </w:rPr>
        <w:t>以这两个改编个案为例，实际上不难看出，即便处于“后剧场”的接受语境中，依旧有一股诗性的清流在涌动并喷薄，这就是属于契诃夫的传统。实际上，契诃夫的《樱桃园》《海鸥》《三姐妹》等戏剧作品留给后世最大的财富便是超时代的诗性传统，这一传统在“故事为王”的时代确实会被遮蔽，然而，那种“碎片”化的讲述方式其实恰恰暗和了这个浅阅读的接受语境。在大众文化的旋涡中，我们已经习惯了隔靴搔痒式的嬉戏。我们越来越质疑本质主义的合理性，那些崇高的、伟大的形象往往在舞台上显得苍白且单薄。有意思的是，两个剧都传递着一种怪异的讯息：一个疯子或傻子内心的崇高和悲壮感是如此滑稽，但被疯子或傻子观看的崇高和悲壮更显滑稽。话剧始终让疯子或傻子和剧情保持距离，也就是和崇高和悲壮的意义输出保持距离。也就是说，两部剧对严肃意义的消解，就是延续了《樱桃园》中生活叙事而非意义灌输的传统，是静态性而非躁动的表现特征：“</w:t>
      </w:r>
      <w:r>
        <w:rPr>
          <w:rFonts w:ascii="宋体" w:hAnsi="宋体" w:cs="Helvetica" w:hint="eastAsia"/>
          <w:szCs w:val="21"/>
          <w:shd w:val="clear" w:color="auto" w:fill="FFFFFF"/>
        </w:rPr>
        <w:t>契诃夫戏剧的静态性特征体现了这一趋势</w:t>
      </w:r>
      <w:r>
        <w:rPr>
          <w:rFonts w:ascii="宋体" w:cs="Helvetica"/>
          <w:szCs w:val="21"/>
          <w:shd w:val="clear" w:color="auto" w:fill="FFFFFF"/>
        </w:rPr>
        <w:t>,</w:t>
      </w:r>
      <w:r>
        <w:rPr>
          <w:rFonts w:ascii="宋体" w:hAnsi="宋体" w:cs="Helvetica" w:hint="eastAsia"/>
          <w:szCs w:val="21"/>
          <w:shd w:val="clear" w:color="auto" w:fill="FFFFFF"/>
        </w:rPr>
        <w:t>并对</w:t>
      </w:r>
      <w:r>
        <w:rPr>
          <w:rFonts w:ascii="宋体" w:hAnsi="宋体" w:cs="Helvetica"/>
          <w:szCs w:val="21"/>
          <w:shd w:val="clear" w:color="auto" w:fill="FFFFFF"/>
        </w:rPr>
        <w:t>20</w:t>
      </w:r>
      <w:r>
        <w:rPr>
          <w:rFonts w:ascii="宋体" w:hAnsi="宋体" w:cs="Helvetica" w:hint="eastAsia"/>
          <w:szCs w:val="21"/>
          <w:shd w:val="clear" w:color="auto" w:fill="FFFFFF"/>
        </w:rPr>
        <w:t>世纪戏剧的发展产生了深远的影响</w:t>
      </w:r>
      <w:r>
        <w:rPr>
          <w:rFonts w:ascii="宋体" w:cs="Helvetica"/>
          <w:szCs w:val="21"/>
          <w:shd w:val="clear" w:color="auto" w:fill="FFFFFF"/>
        </w:rPr>
        <w:t>,</w:t>
      </w:r>
      <w:r>
        <w:rPr>
          <w:rFonts w:ascii="宋体" w:hAnsi="宋体" w:cs="Helvetica" w:hint="eastAsia"/>
          <w:szCs w:val="21"/>
          <w:shd w:val="clear" w:color="auto" w:fill="FFFFFF"/>
        </w:rPr>
        <w:t>荒诞派戏剧将契诃夫戏剧的静态性特征发挥到极致</w:t>
      </w:r>
      <w:r>
        <w:rPr>
          <w:rFonts w:ascii="宋体" w:cs="Helvetica"/>
          <w:szCs w:val="21"/>
          <w:shd w:val="clear" w:color="auto" w:fill="FFFFFF"/>
        </w:rPr>
        <w:t>,</w:t>
      </w:r>
      <w:r>
        <w:rPr>
          <w:rFonts w:ascii="宋体" w:hAnsi="宋体" w:cs="Helvetica" w:hint="eastAsia"/>
          <w:szCs w:val="21"/>
          <w:shd w:val="clear" w:color="auto" w:fill="FFFFFF"/>
        </w:rPr>
        <w:t>而中国现代剧作家在其艺术风格发展过程中</w:t>
      </w:r>
      <w:r>
        <w:rPr>
          <w:rFonts w:ascii="宋体" w:cs="Helvetica"/>
          <w:szCs w:val="21"/>
          <w:shd w:val="clear" w:color="auto" w:fill="FFFFFF"/>
        </w:rPr>
        <w:t>,</w:t>
      </w:r>
      <w:r>
        <w:rPr>
          <w:rFonts w:ascii="宋体" w:hAnsi="宋体" w:cs="Helvetica" w:hint="eastAsia"/>
          <w:szCs w:val="21"/>
          <w:shd w:val="clear" w:color="auto" w:fill="FFFFFF"/>
        </w:rPr>
        <w:t>也借鉴了契诃夫戏剧对静态性的追求。</w:t>
      </w:r>
      <w:r>
        <w:rPr>
          <w:rFonts w:ascii="宋体" w:cs="Helvetica" w:hint="eastAsia"/>
          <w:szCs w:val="21"/>
          <w:shd w:val="clear" w:color="auto" w:fill="FFFFFF"/>
        </w:rPr>
        <w:t>”</w:t>
      </w:r>
      <w:r>
        <w:rPr>
          <w:rFonts w:ascii="宋体" w:hAnsi="宋体" w:cs="楷体"/>
          <w:color w:val="000000"/>
          <w:szCs w:val="21"/>
          <w:vertAlign w:val="superscript"/>
        </w:rPr>
        <w:t xml:space="preserve"> [7]57</w:t>
      </w:r>
      <w:r>
        <w:rPr>
          <w:rFonts w:ascii="宋体" w:hAnsi="宋体" w:hint="eastAsia"/>
          <w:szCs w:val="21"/>
        </w:rPr>
        <w:t>两部剧通过舞美和台词，以史诗性的叙事手法和间离效果共同实现了对于哲理蕴藉的追溯。导演总是在提醒我们，演员时刻处于舞台的中心，但同时随时可以跳出舞台，他们也在审视着我们的内心，认真的表演让我们意识到，不认真的疯子或傻子却成为了时代的预言家，他们在围观，他们试图与观众取得一种共振关系。他们在剧中的动摇也是思考者的动摇，这种动摇显得更具感性意义，更能呈现一种艺术夸张和变形。“我们在艺术中所感受到的不是哪种单纯的或单一的情感性质，而是生命本身的动态过程，是在相反</w:t>
      </w:r>
      <w:r>
        <w:rPr>
          <w:rFonts w:ascii="宋体" w:hAnsi="宋体" w:hint="eastAsia"/>
          <w:szCs w:val="21"/>
        </w:rPr>
        <w:lastRenderedPageBreak/>
        <w:t>的两极</w:t>
      </w:r>
      <w:r>
        <w:rPr>
          <w:rFonts w:ascii="宋体" w:hAnsi="宋体"/>
          <w:szCs w:val="21"/>
        </w:rPr>
        <w:t>——</w:t>
      </w:r>
      <w:r>
        <w:rPr>
          <w:rFonts w:ascii="宋体" w:hAnsi="宋体" w:hint="eastAsia"/>
          <w:szCs w:val="21"/>
        </w:rPr>
        <w:t>欢乐与悲伤、希望与恐惧、狂喜与绝望</w:t>
      </w:r>
      <w:r>
        <w:rPr>
          <w:rFonts w:ascii="宋体" w:hAnsi="宋体"/>
          <w:szCs w:val="21"/>
        </w:rPr>
        <w:t>——</w:t>
      </w:r>
      <w:r>
        <w:rPr>
          <w:rFonts w:ascii="宋体" w:hAnsi="宋体" w:hint="eastAsia"/>
          <w:szCs w:val="21"/>
        </w:rPr>
        <w:t>之间的持续摆动过程。”</w:t>
      </w:r>
      <w:r>
        <w:rPr>
          <w:rFonts w:ascii="楷体" w:eastAsia="楷体" w:hAnsi="楷体" w:cs="楷体"/>
          <w:color w:val="000000"/>
          <w:szCs w:val="21"/>
          <w:vertAlign w:val="superscript"/>
        </w:rPr>
        <w:t xml:space="preserve"> [8] 189</w:t>
      </w:r>
    </w:p>
    <w:p w:rsidR="005339DA" w:rsidRDefault="005339DA">
      <w:pPr>
        <w:spacing w:line="360" w:lineRule="auto"/>
        <w:ind w:firstLine="480"/>
        <w:rPr>
          <w:rFonts w:ascii="宋体"/>
          <w:szCs w:val="21"/>
        </w:rPr>
      </w:pPr>
      <w:r>
        <w:rPr>
          <w:rFonts w:ascii="宋体" w:hAnsi="宋体" w:hint="eastAsia"/>
          <w:szCs w:val="21"/>
        </w:rPr>
        <w:t>如果说小说《堂吉诃德》《尘埃落定》是诗化小说，那么两部戏剧带给观众带来的则是戏剧化的诗。这两部剧大量使用独白从而达到演员和观众的深刻内省状态。相对于流行、大众戏剧而言，这两部剧更习惯于“向内转”。其实，两部剧的主创团队都在有意调和戏剧与诗的冲突，因此带给观众的不是激越、震颤而是沉静和洒脱。</w:t>
      </w:r>
    </w:p>
    <w:p w:rsidR="005339DA" w:rsidRDefault="005339DA">
      <w:pPr>
        <w:spacing w:line="360" w:lineRule="auto"/>
        <w:rPr>
          <w:rFonts w:ascii="宋体"/>
          <w:b/>
          <w:sz w:val="24"/>
        </w:rPr>
      </w:pPr>
      <w:r>
        <w:rPr>
          <w:rFonts w:ascii="宋体" w:hAnsi="宋体"/>
          <w:b/>
          <w:sz w:val="24"/>
        </w:rPr>
        <w:t xml:space="preserve">    </w:t>
      </w:r>
      <w:r>
        <w:rPr>
          <w:rFonts w:ascii="宋体" w:hAnsi="宋体" w:hint="eastAsia"/>
          <w:b/>
          <w:sz w:val="24"/>
        </w:rPr>
        <w:t>结语</w:t>
      </w:r>
    </w:p>
    <w:p w:rsidR="005339DA" w:rsidRDefault="005339DA">
      <w:pPr>
        <w:spacing w:line="360" w:lineRule="auto"/>
        <w:ind w:firstLineChars="200" w:firstLine="420"/>
        <w:rPr>
          <w:rFonts w:ascii="宋体"/>
          <w:szCs w:val="21"/>
        </w:rPr>
      </w:pPr>
      <w:r>
        <w:rPr>
          <w:rFonts w:ascii="宋体" w:hAnsi="宋体" w:hint="eastAsia"/>
          <w:szCs w:val="21"/>
        </w:rPr>
        <w:t>如同小说是小众的文人书，这两部剧其实也是小众的文人剧。它们并不具备太多惯常的戏剧性元素，总是向读者的期待视野发起种种的挑战。当观众坐在剧场中，他总是试图在剧中寻找到什么或是遇见什么，然而两部剧几乎没有特别引人瞩目的戏剧核，有的只是漂浮在舞台上空的情节线索和情绪粒子。如果说大部分话剧结构像是剖开的大理石截面一样光滑、有层次的话，那么两部剧的推进更依赖于叙事者兼具理性和超验的逻辑。当话剧结束的那一刻，我能清楚地听见观众们内心深处如释重负的声音，仿佛我们在和剧中人物一起做了一个落满尘埃的梦。在一个景观社会中，这样的戏剧行动并不友好，但却充满象征意味：</w:t>
      </w:r>
      <w:r>
        <w:rPr>
          <w:rFonts w:ascii="宋体" w:hint="eastAsia"/>
          <w:szCs w:val="21"/>
        </w:rPr>
        <w:t>“</w:t>
      </w:r>
      <w:r>
        <w:rPr>
          <w:rFonts w:ascii="宋体" w:hAnsi="宋体" w:hint="eastAsia"/>
          <w:szCs w:val="21"/>
        </w:rPr>
        <w:t>这意味着：当代艺术在今天已成为一种大众文化实践。所以问题来了：一位当代艺术家怎样能够从当代艺术在大众中的成功中幸存？或者说，艺术家怎样在一个人人都成了艺术家的世界中幸存？”</w:t>
      </w:r>
      <w:r>
        <w:rPr>
          <w:rFonts w:ascii="楷体" w:eastAsia="楷体" w:hAnsi="楷体" w:cs="楷体"/>
          <w:color w:val="000000"/>
          <w:szCs w:val="21"/>
          <w:vertAlign w:val="superscript"/>
        </w:rPr>
        <w:t xml:space="preserve"> [9]30-31</w:t>
      </w:r>
      <w:r>
        <w:rPr>
          <w:rFonts w:ascii="宋体" w:hAnsi="宋体" w:hint="eastAsia"/>
          <w:szCs w:val="21"/>
        </w:rPr>
        <w:t>解答这一连串的艺术之问并不容易，但“小众”可能不失为保持独立精神品质的出路。</w:t>
      </w:r>
    </w:p>
    <w:p w:rsidR="005339DA" w:rsidRDefault="005339DA">
      <w:pPr>
        <w:spacing w:line="360" w:lineRule="auto"/>
        <w:ind w:firstLineChars="200" w:firstLine="420"/>
        <w:rPr>
          <w:rFonts w:ascii="宋体"/>
          <w:szCs w:val="21"/>
        </w:rPr>
      </w:pPr>
      <w:r>
        <w:rPr>
          <w:rFonts w:ascii="宋体" w:hAnsi="宋体" w:hint="eastAsia"/>
          <w:szCs w:val="21"/>
        </w:rPr>
        <w:t>其实，这两部话剧恰恰赢得了精神品质上的完整，我们在观剧时，会慢慢看到疯子堂吉诃德和傻子少爷从四肢着地到直立行走，再归于虚无，从这种意义上，这部剧没有答案的答案，恰恰独树一帜，而历史经验告诉我们，独树一帜的作品往往不需要被大多数人记住，但它会在一个较为隐蔽的地方悄悄发光。正如宗白华所言：“艺术本就是人类……艺术家……精神生命底向外的发展，贯注到自然的物质中，使他精神化，理想化。”</w:t>
      </w:r>
      <w:r>
        <w:rPr>
          <w:rFonts w:ascii="楷体" w:eastAsia="楷体" w:hAnsi="楷体" w:cs="楷体"/>
          <w:color w:val="000000"/>
          <w:szCs w:val="21"/>
          <w:vertAlign w:val="superscript"/>
        </w:rPr>
        <w:t xml:space="preserve"> [10] 10</w:t>
      </w:r>
    </w:p>
    <w:p w:rsidR="005339DA" w:rsidRDefault="005339DA">
      <w:pPr>
        <w:spacing w:line="360" w:lineRule="auto"/>
        <w:jc w:val="left"/>
        <w:rPr>
          <w:rFonts w:ascii="宋体" w:cs="宋体"/>
          <w:color w:val="000000"/>
          <w:szCs w:val="21"/>
        </w:rPr>
      </w:pPr>
    </w:p>
    <w:p w:rsidR="005339DA" w:rsidRDefault="005339DA">
      <w:pPr>
        <w:spacing w:line="360" w:lineRule="auto"/>
        <w:jc w:val="left"/>
        <w:rPr>
          <w:rFonts w:ascii="宋体" w:cs="宋体"/>
          <w:color w:val="000000"/>
          <w:szCs w:val="21"/>
        </w:rPr>
      </w:pPr>
    </w:p>
    <w:p w:rsidR="005339DA" w:rsidRDefault="005339DA">
      <w:pPr>
        <w:spacing w:line="360" w:lineRule="auto"/>
        <w:jc w:val="left"/>
        <w:rPr>
          <w:rFonts w:ascii="宋体" w:cs="宋体"/>
          <w:b/>
          <w:bCs/>
          <w:color w:val="000000"/>
          <w:szCs w:val="21"/>
        </w:rPr>
      </w:pPr>
      <w:r>
        <w:rPr>
          <w:rFonts w:ascii="宋体" w:hAnsi="宋体" w:cs="宋体" w:hint="eastAsia"/>
          <w:b/>
          <w:bCs/>
          <w:color w:val="000000"/>
          <w:szCs w:val="21"/>
        </w:rPr>
        <w:t>参考文献：</w:t>
      </w:r>
    </w:p>
    <w:p w:rsidR="005339DA" w:rsidRDefault="005339DA">
      <w:pPr>
        <w:spacing w:line="360" w:lineRule="auto"/>
        <w:jc w:val="left"/>
        <w:rPr>
          <w:rFonts w:ascii="楷体" w:eastAsia="楷体" w:hAnsi="楷体" w:cs="楷体"/>
          <w:color w:val="000000"/>
          <w:szCs w:val="21"/>
        </w:rPr>
      </w:pPr>
      <w:r>
        <w:rPr>
          <w:rFonts w:ascii="楷体" w:eastAsia="楷体" w:hAnsi="楷体" w:cs="楷体"/>
          <w:color w:val="000000"/>
          <w:szCs w:val="21"/>
        </w:rPr>
        <w:t>[1]</w:t>
      </w:r>
      <w:r>
        <w:rPr>
          <w:rFonts w:ascii="楷体" w:eastAsia="楷体" w:hAnsi="楷体" w:cs="楷体" w:hint="eastAsia"/>
          <w:color w:val="000000"/>
          <w:szCs w:val="21"/>
        </w:rPr>
        <w:t>巴赫金</w:t>
      </w:r>
      <w:r>
        <w:rPr>
          <w:rFonts w:ascii="楷体" w:eastAsia="楷体" w:hAnsi="楷体" w:cs="楷体"/>
          <w:color w:val="000000"/>
          <w:szCs w:val="21"/>
        </w:rPr>
        <w:t>.</w:t>
      </w:r>
      <w:r>
        <w:rPr>
          <w:rFonts w:ascii="楷体" w:eastAsia="楷体" w:hAnsi="楷体" w:cs="楷体" w:hint="eastAsia"/>
          <w:color w:val="000000"/>
          <w:szCs w:val="21"/>
        </w:rPr>
        <w:t>学与访谈</w:t>
      </w:r>
      <w:r>
        <w:rPr>
          <w:rFonts w:ascii="楷体_GB2312" w:eastAsia="楷体_GB2312" w:hAnsi="宋体"/>
          <w:szCs w:val="21"/>
        </w:rPr>
        <w:t>[M]</w:t>
      </w:r>
      <w:r>
        <w:rPr>
          <w:rFonts w:ascii="楷体" w:eastAsia="楷体" w:hAnsi="楷体" w:cs="楷体"/>
          <w:color w:val="000000"/>
          <w:szCs w:val="21"/>
        </w:rPr>
        <w:t>.</w:t>
      </w:r>
      <w:r>
        <w:rPr>
          <w:rFonts w:ascii="楷体" w:eastAsia="楷体" w:hAnsi="楷体" w:cs="楷体" w:hint="eastAsia"/>
          <w:color w:val="000000"/>
          <w:szCs w:val="21"/>
        </w:rPr>
        <w:t>白春仁、顾亚玲译，石家庄：河北教育出版社，</w:t>
      </w:r>
      <w:r>
        <w:rPr>
          <w:rFonts w:ascii="楷体" w:eastAsia="楷体" w:hAnsi="楷体" w:cs="楷体"/>
          <w:color w:val="000000"/>
          <w:szCs w:val="21"/>
        </w:rPr>
        <w:t>1998</w:t>
      </w:r>
      <w:r>
        <w:rPr>
          <w:rFonts w:ascii="楷体" w:eastAsia="楷体" w:hAnsi="楷体" w:cs="楷体" w:hint="eastAsia"/>
          <w:color w:val="000000"/>
          <w:szCs w:val="21"/>
        </w:rPr>
        <w:t>：</w:t>
      </w:r>
      <w:r>
        <w:rPr>
          <w:rFonts w:ascii="楷体" w:eastAsia="楷体" w:hAnsi="楷体" w:cs="楷体"/>
          <w:color w:val="000000"/>
          <w:szCs w:val="21"/>
        </w:rPr>
        <w:t>24.</w:t>
      </w:r>
    </w:p>
    <w:p w:rsidR="005339DA" w:rsidRDefault="005339DA">
      <w:pPr>
        <w:spacing w:line="360" w:lineRule="auto"/>
        <w:jc w:val="left"/>
        <w:rPr>
          <w:rFonts w:ascii="楷体" w:eastAsia="楷体" w:hAnsi="楷体" w:cs="楷体"/>
          <w:color w:val="000000"/>
          <w:szCs w:val="21"/>
        </w:rPr>
      </w:pPr>
      <w:r>
        <w:rPr>
          <w:rFonts w:ascii="楷体" w:eastAsia="楷体" w:hAnsi="楷体" w:cs="楷体"/>
          <w:color w:val="000000"/>
          <w:szCs w:val="21"/>
        </w:rPr>
        <w:t>[2]</w:t>
      </w:r>
      <w:r>
        <w:rPr>
          <w:rFonts w:ascii="楷体" w:eastAsia="楷体" w:hAnsi="楷体" w:cs="楷体" w:hint="eastAsia"/>
          <w:color w:val="000000"/>
          <w:szCs w:val="21"/>
        </w:rPr>
        <w:t>汉斯·蒂斯·雷曼</w:t>
      </w:r>
      <w:r>
        <w:rPr>
          <w:rFonts w:ascii="楷体" w:eastAsia="楷体" w:hAnsi="楷体" w:cs="楷体"/>
          <w:color w:val="000000"/>
          <w:szCs w:val="21"/>
        </w:rPr>
        <w:t>.</w:t>
      </w:r>
      <w:r>
        <w:rPr>
          <w:rFonts w:ascii="楷体" w:eastAsia="楷体" w:hAnsi="楷体" w:cs="楷体" w:hint="eastAsia"/>
          <w:color w:val="000000"/>
          <w:szCs w:val="21"/>
        </w:rPr>
        <w:t>后戏剧剧场</w:t>
      </w:r>
      <w:r>
        <w:rPr>
          <w:rFonts w:ascii="楷体_GB2312" w:eastAsia="楷体_GB2312" w:hAnsi="宋体"/>
          <w:szCs w:val="21"/>
        </w:rPr>
        <w:t>[M].</w:t>
      </w:r>
      <w:r>
        <w:rPr>
          <w:rFonts w:ascii="楷体" w:eastAsia="楷体" w:hAnsi="楷体" w:cs="楷体" w:hint="eastAsia"/>
          <w:color w:val="000000"/>
          <w:szCs w:val="21"/>
        </w:rPr>
        <w:t>李亦男译，北京：北京大学出版社，</w:t>
      </w:r>
      <w:r>
        <w:rPr>
          <w:rFonts w:ascii="楷体" w:eastAsia="楷体" w:hAnsi="楷体" w:cs="楷体"/>
          <w:color w:val="000000"/>
          <w:szCs w:val="21"/>
        </w:rPr>
        <w:t>2010</w:t>
      </w:r>
      <w:r>
        <w:rPr>
          <w:rFonts w:ascii="楷体" w:eastAsia="楷体" w:hAnsi="楷体" w:cs="楷体" w:hint="eastAsia"/>
          <w:color w:val="000000"/>
          <w:szCs w:val="21"/>
        </w:rPr>
        <w:t>：</w:t>
      </w:r>
      <w:r>
        <w:rPr>
          <w:rFonts w:ascii="楷体" w:eastAsia="楷体" w:hAnsi="楷体" w:cs="楷体"/>
          <w:color w:val="000000"/>
          <w:szCs w:val="21"/>
        </w:rPr>
        <w:t>10.</w:t>
      </w:r>
    </w:p>
    <w:p w:rsidR="005339DA" w:rsidRDefault="005339DA">
      <w:pPr>
        <w:spacing w:line="360" w:lineRule="auto"/>
        <w:jc w:val="left"/>
        <w:rPr>
          <w:rFonts w:ascii="楷体" w:eastAsia="楷体" w:hAnsi="楷体" w:cs="楷体"/>
          <w:color w:val="000000"/>
          <w:szCs w:val="21"/>
        </w:rPr>
      </w:pPr>
      <w:r>
        <w:rPr>
          <w:rFonts w:ascii="楷体" w:eastAsia="楷体" w:hAnsi="楷体" w:cs="楷体"/>
          <w:color w:val="000000"/>
          <w:szCs w:val="21"/>
        </w:rPr>
        <w:t>[3]</w:t>
      </w:r>
      <w:r>
        <w:rPr>
          <w:rFonts w:ascii="楷体" w:eastAsia="楷体" w:hAnsi="楷体" w:cs="楷体" w:hint="eastAsia"/>
          <w:color w:val="000000"/>
          <w:szCs w:val="21"/>
        </w:rPr>
        <w:t>周宪</w:t>
      </w:r>
      <w:r>
        <w:rPr>
          <w:rFonts w:ascii="楷体" w:eastAsia="楷体" w:hAnsi="楷体" w:cs="楷体"/>
          <w:color w:val="000000"/>
          <w:szCs w:val="21"/>
        </w:rPr>
        <w:t>.</w:t>
      </w:r>
      <w:r>
        <w:rPr>
          <w:rFonts w:ascii="楷体" w:eastAsia="楷体" w:hAnsi="楷体" w:cs="楷体" w:hint="eastAsia"/>
          <w:color w:val="000000"/>
          <w:szCs w:val="21"/>
        </w:rPr>
        <w:t>艺术理论的文化逻辑</w:t>
      </w:r>
      <w:r>
        <w:rPr>
          <w:rFonts w:ascii="楷体_GB2312" w:eastAsia="楷体_GB2312" w:hAnsi="宋体"/>
          <w:szCs w:val="21"/>
        </w:rPr>
        <w:t>[M]</w:t>
      </w:r>
      <w:r>
        <w:rPr>
          <w:rFonts w:ascii="楷体" w:eastAsia="楷体" w:hAnsi="楷体" w:cs="楷体"/>
          <w:color w:val="000000"/>
          <w:szCs w:val="21"/>
        </w:rPr>
        <w:t>.</w:t>
      </w:r>
      <w:r>
        <w:rPr>
          <w:rFonts w:ascii="楷体" w:eastAsia="楷体" w:hAnsi="楷体" w:cs="楷体" w:hint="eastAsia"/>
          <w:color w:val="000000"/>
          <w:szCs w:val="21"/>
        </w:rPr>
        <w:t>北京：北京大学出版社，</w:t>
      </w:r>
      <w:r>
        <w:rPr>
          <w:rFonts w:ascii="楷体" w:eastAsia="楷体" w:hAnsi="楷体" w:cs="楷体"/>
          <w:color w:val="000000"/>
          <w:szCs w:val="21"/>
        </w:rPr>
        <w:t>2018:198.</w:t>
      </w:r>
    </w:p>
    <w:p w:rsidR="005339DA" w:rsidRDefault="005339DA">
      <w:pPr>
        <w:spacing w:line="360" w:lineRule="auto"/>
        <w:jc w:val="left"/>
        <w:rPr>
          <w:rFonts w:ascii="楷体" w:eastAsia="楷体" w:hAnsi="楷体" w:cs="楷体"/>
          <w:color w:val="000000"/>
          <w:szCs w:val="21"/>
        </w:rPr>
      </w:pPr>
      <w:r>
        <w:rPr>
          <w:rFonts w:ascii="楷体" w:eastAsia="楷体" w:hAnsi="楷体" w:cs="楷体"/>
          <w:color w:val="000000"/>
          <w:szCs w:val="21"/>
        </w:rPr>
        <w:t>[4]</w:t>
      </w:r>
      <w:r>
        <w:rPr>
          <w:rFonts w:ascii="楷体" w:eastAsia="楷体" w:hAnsi="楷体" w:cs="楷体" w:hint="eastAsia"/>
          <w:color w:val="000000"/>
          <w:szCs w:val="21"/>
        </w:rPr>
        <w:t>朱莉娅·克里斯蒂娃</w:t>
      </w:r>
      <w:r>
        <w:rPr>
          <w:rFonts w:ascii="楷体" w:eastAsia="楷体" w:hAnsi="楷体" w:cs="楷体"/>
          <w:color w:val="000000"/>
          <w:szCs w:val="21"/>
        </w:rPr>
        <w:t>.</w:t>
      </w:r>
      <w:r>
        <w:rPr>
          <w:rFonts w:ascii="楷体" w:eastAsia="楷体" w:hAnsi="楷体" w:cs="楷体" w:hint="eastAsia"/>
          <w:color w:val="000000"/>
          <w:szCs w:val="21"/>
        </w:rPr>
        <w:t>符号学：符义分析探索集</w:t>
      </w:r>
      <w:r>
        <w:rPr>
          <w:rFonts w:ascii="楷体_GB2312" w:eastAsia="楷体_GB2312" w:hAnsi="宋体"/>
          <w:szCs w:val="21"/>
        </w:rPr>
        <w:t>[M].</w:t>
      </w:r>
      <w:r>
        <w:rPr>
          <w:rFonts w:ascii="楷体" w:eastAsia="楷体" w:hAnsi="楷体" w:cs="楷体" w:hint="eastAsia"/>
          <w:color w:val="000000"/>
          <w:szCs w:val="21"/>
        </w:rPr>
        <w:t>史忠义等译，上海：复旦大学出版社，</w:t>
      </w:r>
      <w:r>
        <w:rPr>
          <w:rFonts w:ascii="楷体" w:eastAsia="楷体" w:hAnsi="楷体" w:cs="楷体"/>
          <w:color w:val="000000"/>
          <w:szCs w:val="21"/>
        </w:rPr>
        <w:t>2015</w:t>
      </w:r>
      <w:r>
        <w:rPr>
          <w:rFonts w:ascii="楷体" w:eastAsia="楷体" w:hAnsi="楷体" w:cs="楷体" w:hint="eastAsia"/>
          <w:color w:val="000000"/>
          <w:szCs w:val="21"/>
        </w:rPr>
        <w:t>：</w:t>
      </w:r>
      <w:r>
        <w:rPr>
          <w:rFonts w:ascii="楷体" w:eastAsia="楷体" w:hAnsi="楷体" w:cs="楷体"/>
          <w:color w:val="000000"/>
          <w:szCs w:val="21"/>
        </w:rPr>
        <w:t>96.</w:t>
      </w:r>
    </w:p>
    <w:p w:rsidR="005339DA" w:rsidRDefault="005339DA">
      <w:pPr>
        <w:spacing w:line="360" w:lineRule="auto"/>
        <w:jc w:val="left"/>
        <w:rPr>
          <w:rFonts w:ascii="楷体" w:eastAsia="楷体" w:hAnsi="楷体" w:cs="楷体"/>
          <w:color w:val="000000"/>
          <w:szCs w:val="21"/>
        </w:rPr>
      </w:pPr>
      <w:r>
        <w:rPr>
          <w:rFonts w:ascii="楷体" w:eastAsia="楷体" w:hAnsi="楷体" w:cs="楷体"/>
          <w:color w:val="000000"/>
          <w:szCs w:val="21"/>
        </w:rPr>
        <w:lastRenderedPageBreak/>
        <w:t xml:space="preserve">[5] </w:t>
      </w:r>
      <w:r>
        <w:rPr>
          <w:rFonts w:ascii="楷体" w:eastAsia="楷体" w:hAnsi="楷体" w:cs="楷体" w:hint="eastAsia"/>
          <w:color w:val="000000"/>
          <w:szCs w:val="21"/>
        </w:rPr>
        <w:t>陈军</w:t>
      </w:r>
      <w:r>
        <w:rPr>
          <w:rFonts w:ascii="楷体" w:eastAsia="楷体" w:hAnsi="楷体" w:cs="楷体"/>
          <w:color w:val="000000"/>
          <w:szCs w:val="21"/>
        </w:rPr>
        <w:t>.</w:t>
      </w:r>
      <w:r>
        <w:rPr>
          <w:rFonts w:ascii="楷体" w:eastAsia="楷体" w:hAnsi="楷体" w:cs="楷体" w:hint="eastAsia"/>
          <w:color w:val="000000"/>
          <w:szCs w:val="21"/>
        </w:rPr>
        <w:t>在舞台呈现“尘埃”里的诗意</w:t>
      </w:r>
      <w:r>
        <w:rPr>
          <w:rFonts w:ascii="楷体" w:eastAsia="楷体" w:hAnsi="楷体" w:cs="楷体"/>
          <w:color w:val="000000"/>
          <w:szCs w:val="21"/>
        </w:rPr>
        <w:softHyphen/>
      </w:r>
      <w:r>
        <w:rPr>
          <w:rFonts w:ascii="楷体" w:eastAsia="楷体" w:hAnsi="楷体" w:cs="楷体"/>
          <w:color w:val="000000"/>
          <w:szCs w:val="21"/>
        </w:rPr>
        <w:softHyphen/>
      </w:r>
      <w:r>
        <w:rPr>
          <w:rFonts w:ascii="楷体" w:eastAsia="楷体" w:hAnsi="楷体" w:cs="楷体"/>
          <w:color w:val="000000"/>
          <w:szCs w:val="21"/>
        </w:rPr>
        <w:softHyphen/>
        <w:t>——</w:t>
      </w:r>
      <w:r>
        <w:rPr>
          <w:rFonts w:ascii="楷体" w:eastAsia="楷体" w:hAnsi="楷体" w:cs="楷体" w:hint="eastAsia"/>
          <w:color w:val="000000"/>
          <w:szCs w:val="21"/>
        </w:rPr>
        <w:t>话剧《尘埃落定》上海研讨会纪要</w:t>
      </w:r>
      <w:r>
        <w:rPr>
          <w:rFonts w:ascii="楷体" w:eastAsia="楷体" w:hAnsi="楷体" w:cs="楷体"/>
          <w:color w:val="000000"/>
          <w:szCs w:val="21"/>
        </w:rPr>
        <w:t>[J].</w:t>
      </w:r>
      <w:r>
        <w:rPr>
          <w:rFonts w:ascii="楷体" w:eastAsia="楷体" w:hAnsi="楷体" w:cs="楷体" w:hint="eastAsia"/>
          <w:color w:val="000000"/>
          <w:szCs w:val="21"/>
        </w:rPr>
        <w:t>上海戏剧，</w:t>
      </w:r>
      <w:r>
        <w:rPr>
          <w:rFonts w:ascii="楷体" w:eastAsia="楷体" w:hAnsi="楷体" w:cs="楷体"/>
          <w:color w:val="000000"/>
          <w:szCs w:val="21"/>
        </w:rPr>
        <w:t>2021(3):32.</w:t>
      </w:r>
    </w:p>
    <w:p w:rsidR="005339DA" w:rsidRDefault="005339DA">
      <w:pPr>
        <w:spacing w:line="360" w:lineRule="auto"/>
        <w:jc w:val="left"/>
        <w:rPr>
          <w:rFonts w:ascii="楷体" w:eastAsia="楷体" w:hAnsi="楷体" w:cs="楷体"/>
          <w:color w:val="000000"/>
          <w:szCs w:val="21"/>
        </w:rPr>
      </w:pPr>
      <w:r>
        <w:rPr>
          <w:rFonts w:ascii="楷体" w:eastAsia="楷体" w:hAnsi="楷体" w:cs="楷体"/>
          <w:color w:val="000000"/>
          <w:szCs w:val="21"/>
        </w:rPr>
        <w:t>[6]</w:t>
      </w:r>
      <w:r>
        <w:rPr>
          <w:rFonts w:ascii="楷体" w:eastAsia="楷体" w:hAnsi="楷体" w:cs="楷体" w:hint="eastAsia"/>
          <w:color w:val="000000"/>
          <w:szCs w:val="21"/>
        </w:rPr>
        <w:t>李一庚，土司末日余晖里的血色浪漫</w:t>
      </w:r>
      <w:r>
        <w:rPr>
          <w:rFonts w:ascii="楷体" w:eastAsia="楷体" w:hAnsi="楷体" w:cs="楷体"/>
          <w:color w:val="000000"/>
          <w:szCs w:val="21"/>
        </w:rPr>
        <w:t>——</w:t>
      </w:r>
      <w:r>
        <w:rPr>
          <w:rFonts w:ascii="楷体" w:eastAsia="楷体" w:hAnsi="楷体" w:cs="楷体" w:hint="eastAsia"/>
          <w:color w:val="000000"/>
          <w:szCs w:val="21"/>
        </w:rPr>
        <w:t>观四川人艺话剧《尘埃落定》</w:t>
      </w:r>
      <w:r>
        <w:rPr>
          <w:rFonts w:ascii="楷体_GB2312" w:eastAsia="楷体_GB2312" w:hAnsi="宋体"/>
          <w:szCs w:val="21"/>
        </w:rPr>
        <w:t>[J]</w:t>
      </w:r>
      <w:r>
        <w:rPr>
          <w:rFonts w:ascii="楷体" w:eastAsia="楷体" w:hAnsi="楷体" w:cs="楷体"/>
          <w:color w:val="000000"/>
          <w:szCs w:val="21"/>
        </w:rPr>
        <w:t>.</w:t>
      </w:r>
      <w:r>
        <w:rPr>
          <w:rFonts w:ascii="楷体" w:eastAsia="楷体" w:hAnsi="楷体" w:cs="楷体" w:hint="eastAsia"/>
          <w:color w:val="000000"/>
          <w:szCs w:val="21"/>
        </w:rPr>
        <w:t>中国戏剧，</w:t>
      </w:r>
      <w:r>
        <w:rPr>
          <w:rFonts w:ascii="楷体" w:eastAsia="楷体" w:hAnsi="楷体" w:cs="楷体"/>
          <w:color w:val="000000"/>
          <w:szCs w:val="21"/>
        </w:rPr>
        <w:t>2021</w:t>
      </w:r>
      <w:r>
        <w:rPr>
          <w:rFonts w:ascii="楷体" w:eastAsia="楷体" w:hAnsi="楷体" w:cs="楷体" w:hint="eastAsia"/>
          <w:color w:val="000000"/>
          <w:szCs w:val="21"/>
        </w:rPr>
        <w:t>（</w:t>
      </w:r>
      <w:r>
        <w:rPr>
          <w:rFonts w:ascii="楷体" w:eastAsia="楷体" w:hAnsi="楷体" w:cs="楷体"/>
          <w:color w:val="000000"/>
          <w:szCs w:val="21"/>
        </w:rPr>
        <w:t>6</w:t>
      </w:r>
      <w:r>
        <w:rPr>
          <w:rFonts w:ascii="楷体" w:eastAsia="楷体" w:hAnsi="楷体" w:cs="楷体" w:hint="eastAsia"/>
          <w:color w:val="000000"/>
          <w:szCs w:val="21"/>
        </w:rPr>
        <w:t>）：</w:t>
      </w:r>
      <w:r>
        <w:rPr>
          <w:rFonts w:ascii="楷体" w:eastAsia="楷体" w:hAnsi="楷体" w:cs="楷体"/>
          <w:color w:val="000000"/>
          <w:szCs w:val="21"/>
        </w:rPr>
        <w:t>43-44.</w:t>
      </w:r>
    </w:p>
    <w:p w:rsidR="005339DA" w:rsidRDefault="005339DA">
      <w:pPr>
        <w:spacing w:line="360" w:lineRule="auto"/>
        <w:jc w:val="left"/>
        <w:rPr>
          <w:rFonts w:ascii="楷体" w:eastAsia="楷体" w:hAnsi="楷体" w:cs="楷体"/>
          <w:color w:val="000000"/>
          <w:szCs w:val="21"/>
        </w:rPr>
      </w:pPr>
      <w:r>
        <w:rPr>
          <w:rFonts w:ascii="楷体" w:eastAsia="楷体" w:hAnsi="楷体" w:cs="楷体"/>
          <w:color w:val="000000"/>
          <w:szCs w:val="21"/>
        </w:rPr>
        <w:t>[7]</w:t>
      </w:r>
      <w:r>
        <w:rPr>
          <w:rFonts w:ascii="楷体" w:eastAsia="楷体" w:hAnsi="楷体" w:cs="楷体" w:hint="eastAsia"/>
          <w:color w:val="000000"/>
          <w:szCs w:val="21"/>
        </w:rPr>
        <w:t>董晓</w:t>
      </w:r>
      <w:r>
        <w:rPr>
          <w:rFonts w:ascii="楷体" w:eastAsia="楷体" w:hAnsi="楷体" w:cs="楷体"/>
          <w:color w:val="000000"/>
          <w:szCs w:val="21"/>
        </w:rPr>
        <w:t>.</w:t>
      </w:r>
      <w:r>
        <w:rPr>
          <w:rFonts w:ascii="楷体" w:eastAsia="楷体" w:hAnsi="楷体" w:cs="楷体" w:hint="eastAsia"/>
          <w:color w:val="000000"/>
          <w:szCs w:val="21"/>
        </w:rPr>
        <w:t>论契诃夫戏剧的静态性</w:t>
      </w:r>
      <w:r>
        <w:rPr>
          <w:rFonts w:ascii="楷体_GB2312" w:eastAsia="楷体_GB2312" w:hAnsi="宋体"/>
          <w:szCs w:val="21"/>
        </w:rPr>
        <w:t>[J]</w:t>
      </w:r>
      <w:r>
        <w:rPr>
          <w:rFonts w:ascii="楷体" w:eastAsia="楷体" w:hAnsi="楷体" w:cs="楷体"/>
          <w:color w:val="000000"/>
          <w:szCs w:val="21"/>
        </w:rPr>
        <w:t>.</w:t>
      </w:r>
      <w:r>
        <w:rPr>
          <w:rFonts w:ascii="楷体" w:eastAsia="楷体" w:hAnsi="楷体" w:cs="楷体" w:hint="eastAsia"/>
          <w:color w:val="000000"/>
          <w:szCs w:val="21"/>
        </w:rPr>
        <w:t>外国文学研究</w:t>
      </w:r>
      <w:r>
        <w:rPr>
          <w:rFonts w:ascii="楷体" w:eastAsia="楷体" w:hAnsi="楷体" w:cs="楷体"/>
          <w:color w:val="000000"/>
          <w:szCs w:val="21"/>
        </w:rPr>
        <w:t>, 2011(05):57.</w:t>
      </w:r>
    </w:p>
    <w:p w:rsidR="005339DA" w:rsidRDefault="005339DA">
      <w:pPr>
        <w:spacing w:line="360" w:lineRule="auto"/>
        <w:jc w:val="left"/>
        <w:rPr>
          <w:rFonts w:ascii="楷体" w:eastAsia="楷体" w:hAnsi="楷体" w:cs="楷体"/>
          <w:color w:val="000000"/>
          <w:szCs w:val="21"/>
        </w:rPr>
      </w:pPr>
      <w:r>
        <w:rPr>
          <w:rFonts w:ascii="楷体" w:eastAsia="楷体" w:hAnsi="楷体" w:cs="楷体"/>
          <w:color w:val="000000"/>
          <w:szCs w:val="21"/>
        </w:rPr>
        <w:t>[8]</w:t>
      </w:r>
      <w:r>
        <w:rPr>
          <w:rFonts w:ascii="楷体" w:eastAsia="楷体" w:hAnsi="楷体" w:cs="楷体" w:hint="eastAsia"/>
          <w:color w:val="000000"/>
          <w:szCs w:val="21"/>
        </w:rPr>
        <w:t>恩斯特·卡西尔</w:t>
      </w:r>
      <w:r>
        <w:rPr>
          <w:rFonts w:ascii="楷体" w:eastAsia="楷体" w:hAnsi="楷体" w:cs="楷体"/>
          <w:color w:val="000000"/>
          <w:szCs w:val="21"/>
        </w:rPr>
        <w:t>.</w:t>
      </w:r>
      <w:r>
        <w:rPr>
          <w:rFonts w:ascii="楷体" w:eastAsia="楷体" w:hAnsi="楷体" w:cs="楷体" w:hint="eastAsia"/>
          <w:color w:val="000000"/>
          <w:szCs w:val="21"/>
        </w:rPr>
        <w:t>人论</w:t>
      </w:r>
      <w:r>
        <w:rPr>
          <w:rFonts w:ascii="楷体_GB2312" w:eastAsia="楷体_GB2312" w:hAnsi="宋体"/>
          <w:szCs w:val="21"/>
        </w:rPr>
        <w:t>[M].</w:t>
      </w:r>
      <w:r>
        <w:rPr>
          <w:rFonts w:ascii="楷体" w:eastAsia="楷体" w:hAnsi="楷体" w:cs="楷体" w:hint="eastAsia"/>
          <w:color w:val="000000"/>
          <w:szCs w:val="21"/>
        </w:rPr>
        <w:t>甘阳译，上海：上海译文出版社，</w:t>
      </w:r>
      <w:r>
        <w:rPr>
          <w:rFonts w:ascii="楷体" w:eastAsia="楷体" w:hAnsi="楷体" w:cs="楷体"/>
          <w:color w:val="000000"/>
          <w:szCs w:val="21"/>
        </w:rPr>
        <w:t>1985</w:t>
      </w:r>
      <w:r>
        <w:rPr>
          <w:rFonts w:ascii="楷体" w:eastAsia="楷体" w:hAnsi="楷体" w:cs="楷体" w:hint="eastAsia"/>
          <w:color w:val="000000"/>
          <w:szCs w:val="21"/>
        </w:rPr>
        <w:t>：</w:t>
      </w:r>
      <w:r>
        <w:rPr>
          <w:rFonts w:ascii="楷体" w:eastAsia="楷体" w:hAnsi="楷体" w:cs="楷体"/>
          <w:color w:val="000000"/>
          <w:szCs w:val="21"/>
        </w:rPr>
        <w:t>189.</w:t>
      </w:r>
    </w:p>
    <w:p w:rsidR="005339DA" w:rsidRDefault="005339DA">
      <w:pPr>
        <w:spacing w:line="360" w:lineRule="auto"/>
        <w:jc w:val="left"/>
        <w:rPr>
          <w:rFonts w:ascii="楷体" w:eastAsia="楷体" w:hAnsi="楷体" w:cs="楷体"/>
          <w:color w:val="000000"/>
          <w:szCs w:val="21"/>
        </w:rPr>
      </w:pPr>
      <w:r>
        <w:rPr>
          <w:rFonts w:ascii="楷体" w:eastAsia="楷体" w:hAnsi="楷体" w:cs="楷体"/>
          <w:color w:val="000000"/>
          <w:szCs w:val="21"/>
        </w:rPr>
        <w:t>[9]</w:t>
      </w:r>
      <w:r>
        <w:rPr>
          <w:rFonts w:ascii="楷体" w:eastAsia="楷体" w:hAnsi="楷体" w:cs="楷体" w:hint="eastAsia"/>
          <w:color w:val="000000"/>
          <w:szCs w:val="21"/>
        </w:rPr>
        <w:t>鲍里斯·格洛伊斯</w:t>
      </w:r>
      <w:r>
        <w:rPr>
          <w:rFonts w:ascii="楷体" w:eastAsia="楷体" w:hAnsi="楷体" w:cs="楷体"/>
          <w:color w:val="000000"/>
          <w:szCs w:val="21"/>
        </w:rPr>
        <w:t>.</w:t>
      </w:r>
      <w:r>
        <w:rPr>
          <w:rFonts w:ascii="楷体" w:eastAsia="楷体" w:hAnsi="楷体" w:cs="楷体" w:hint="eastAsia"/>
          <w:color w:val="000000"/>
          <w:szCs w:val="21"/>
        </w:rPr>
        <w:t>时代的同志</w:t>
      </w:r>
      <w:r>
        <w:rPr>
          <w:rFonts w:ascii="楷体_GB2312" w:eastAsia="楷体_GB2312" w:hAnsi="宋体"/>
          <w:szCs w:val="21"/>
        </w:rPr>
        <w:t>[J]</w:t>
      </w:r>
      <w:r>
        <w:rPr>
          <w:rFonts w:ascii="楷体" w:eastAsia="楷体" w:hAnsi="楷体" w:cs="楷体"/>
          <w:color w:val="000000"/>
          <w:szCs w:val="21"/>
        </w:rPr>
        <w:t>.</w:t>
      </w:r>
      <w:r>
        <w:rPr>
          <w:rFonts w:ascii="楷体" w:eastAsia="楷体" w:hAnsi="楷体" w:cs="楷体" w:hint="eastAsia"/>
          <w:color w:val="000000"/>
          <w:szCs w:val="21"/>
        </w:rPr>
        <w:t>陈恒译，选自</w:t>
      </w:r>
      <w:r>
        <w:rPr>
          <w:rFonts w:ascii="楷体" w:eastAsia="楷体" w:hAnsi="楷体" w:cs="楷体"/>
          <w:color w:val="000000"/>
          <w:szCs w:val="21"/>
        </w:rPr>
        <w:t>e-flux journal</w:t>
      </w:r>
      <w:r>
        <w:rPr>
          <w:rFonts w:ascii="楷体" w:eastAsia="楷体" w:hAnsi="楷体" w:cs="楷体" w:hint="eastAsia"/>
          <w:color w:val="000000"/>
          <w:szCs w:val="21"/>
        </w:rPr>
        <w:t>编，什么是当代艺术？</w:t>
      </w:r>
      <w:r>
        <w:rPr>
          <w:rFonts w:ascii="楷体" w:eastAsia="楷体" w:hAnsi="楷体" w:cs="楷体"/>
          <w:color w:val="000000"/>
          <w:szCs w:val="21"/>
        </w:rPr>
        <w:t>.</w:t>
      </w:r>
      <w:r>
        <w:rPr>
          <w:rFonts w:ascii="楷体" w:eastAsia="楷体" w:hAnsi="楷体" w:cs="楷体" w:hint="eastAsia"/>
          <w:color w:val="000000"/>
          <w:szCs w:val="21"/>
        </w:rPr>
        <w:t>陈佩华、苏伟等译，北京：金城出版社，</w:t>
      </w:r>
      <w:r>
        <w:rPr>
          <w:rFonts w:ascii="楷体" w:eastAsia="楷体" w:hAnsi="楷体" w:cs="楷体"/>
          <w:color w:val="000000"/>
          <w:szCs w:val="21"/>
        </w:rPr>
        <w:t>2012</w:t>
      </w:r>
      <w:r>
        <w:rPr>
          <w:rFonts w:ascii="楷体" w:eastAsia="楷体" w:hAnsi="楷体" w:cs="楷体" w:hint="eastAsia"/>
          <w:color w:val="000000"/>
          <w:szCs w:val="21"/>
        </w:rPr>
        <w:t>：</w:t>
      </w:r>
      <w:r>
        <w:rPr>
          <w:rFonts w:ascii="楷体" w:eastAsia="楷体" w:hAnsi="楷体" w:cs="楷体"/>
          <w:color w:val="000000"/>
          <w:szCs w:val="21"/>
        </w:rPr>
        <w:t>30-31.</w:t>
      </w:r>
    </w:p>
    <w:p w:rsidR="005339DA" w:rsidRDefault="005339DA">
      <w:pPr>
        <w:spacing w:line="360" w:lineRule="auto"/>
        <w:jc w:val="left"/>
        <w:rPr>
          <w:rFonts w:ascii="楷体" w:eastAsia="楷体" w:hAnsi="楷体" w:cs="楷体"/>
          <w:color w:val="000000"/>
          <w:szCs w:val="21"/>
        </w:rPr>
      </w:pPr>
      <w:r>
        <w:rPr>
          <w:rFonts w:ascii="楷体" w:eastAsia="楷体" w:hAnsi="楷体" w:cs="楷体"/>
          <w:color w:val="000000"/>
          <w:szCs w:val="21"/>
        </w:rPr>
        <w:t>[10]</w:t>
      </w:r>
      <w:r>
        <w:rPr>
          <w:rFonts w:ascii="楷体" w:eastAsia="楷体" w:hAnsi="楷体" w:cs="楷体" w:hint="eastAsia"/>
          <w:color w:val="000000"/>
          <w:szCs w:val="21"/>
        </w:rPr>
        <w:t>宗白华</w:t>
      </w:r>
      <w:r>
        <w:rPr>
          <w:rFonts w:ascii="楷体" w:eastAsia="楷体" w:hAnsi="楷体" w:cs="楷体"/>
          <w:color w:val="000000"/>
          <w:szCs w:val="21"/>
        </w:rPr>
        <w:t>.</w:t>
      </w:r>
      <w:r>
        <w:rPr>
          <w:rFonts w:ascii="楷体" w:eastAsia="楷体" w:hAnsi="楷体" w:cs="楷体" w:hint="eastAsia"/>
          <w:color w:val="000000"/>
          <w:szCs w:val="21"/>
        </w:rPr>
        <w:t>艺境</w:t>
      </w:r>
      <w:r>
        <w:rPr>
          <w:rFonts w:ascii="楷体_GB2312" w:eastAsia="楷体_GB2312" w:hAnsi="宋体"/>
          <w:szCs w:val="21"/>
        </w:rPr>
        <w:t>[M].</w:t>
      </w:r>
      <w:r>
        <w:rPr>
          <w:rFonts w:ascii="楷体_GB2312" w:eastAsia="楷体_GB2312" w:hAnsi="宋体" w:hint="eastAsia"/>
          <w:szCs w:val="21"/>
        </w:rPr>
        <w:t>北京：</w:t>
      </w:r>
      <w:r>
        <w:rPr>
          <w:rFonts w:ascii="楷体" w:eastAsia="楷体" w:hAnsi="楷体" w:cs="楷体" w:hint="eastAsia"/>
          <w:color w:val="000000"/>
          <w:szCs w:val="21"/>
        </w:rPr>
        <w:t>商务印书馆，</w:t>
      </w:r>
      <w:r>
        <w:rPr>
          <w:rFonts w:ascii="楷体" w:eastAsia="楷体" w:hAnsi="楷体" w:cs="楷体"/>
          <w:color w:val="000000"/>
          <w:szCs w:val="21"/>
        </w:rPr>
        <w:t>2011</w:t>
      </w:r>
      <w:r>
        <w:rPr>
          <w:rFonts w:ascii="楷体" w:eastAsia="楷体" w:hAnsi="楷体" w:cs="楷体" w:hint="eastAsia"/>
          <w:color w:val="000000"/>
          <w:szCs w:val="21"/>
        </w:rPr>
        <w:t>：</w:t>
      </w:r>
      <w:r>
        <w:rPr>
          <w:rFonts w:ascii="楷体" w:eastAsia="楷体" w:hAnsi="楷体" w:cs="楷体"/>
          <w:color w:val="000000"/>
          <w:szCs w:val="21"/>
        </w:rPr>
        <w:t>10.</w:t>
      </w:r>
    </w:p>
    <w:sectPr w:rsidR="005339DA" w:rsidSect="00AB7AB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楷体_GB2312">
    <w:altName w:val="楷体"/>
    <w:panose1 w:val="00000000000000000000"/>
    <w:charset w:val="86"/>
    <w:family w:val="modern"/>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noPunctuationKerning/>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33F4A"/>
    <w:rsid w:val="00011D3C"/>
    <w:rsid w:val="00054B98"/>
    <w:rsid w:val="0008149E"/>
    <w:rsid w:val="0008420D"/>
    <w:rsid w:val="0009142F"/>
    <w:rsid w:val="000B40BA"/>
    <w:rsid w:val="000C174A"/>
    <w:rsid w:val="000C7AE3"/>
    <w:rsid w:val="00101324"/>
    <w:rsid w:val="001063FE"/>
    <w:rsid w:val="00111AC5"/>
    <w:rsid w:val="00115A69"/>
    <w:rsid w:val="0013270A"/>
    <w:rsid w:val="00133F4A"/>
    <w:rsid w:val="00136040"/>
    <w:rsid w:val="001418AF"/>
    <w:rsid w:val="00141E36"/>
    <w:rsid w:val="00145568"/>
    <w:rsid w:val="001B0D54"/>
    <w:rsid w:val="001E240C"/>
    <w:rsid w:val="001E4158"/>
    <w:rsid w:val="001E7023"/>
    <w:rsid w:val="001F041D"/>
    <w:rsid w:val="001F7C9B"/>
    <w:rsid w:val="0021507E"/>
    <w:rsid w:val="00266BBD"/>
    <w:rsid w:val="00285BAC"/>
    <w:rsid w:val="002A4BD6"/>
    <w:rsid w:val="002C7952"/>
    <w:rsid w:val="002D3178"/>
    <w:rsid w:val="002E5EC7"/>
    <w:rsid w:val="002F0A0A"/>
    <w:rsid w:val="002F23FD"/>
    <w:rsid w:val="002F68DF"/>
    <w:rsid w:val="00320E74"/>
    <w:rsid w:val="00362C91"/>
    <w:rsid w:val="00362CD9"/>
    <w:rsid w:val="003C255A"/>
    <w:rsid w:val="003F7BC2"/>
    <w:rsid w:val="00416B2A"/>
    <w:rsid w:val="00421CC6"/>
    <w:rsid w:val="00422629"/>
    <w:rsid w:val="00436211"/>
    <w:rsid w:val="00446029"/>
    <w:rsid w:val="00466841"/>
    <w:rsid w:val="0047533C"/>
    <w:rsid w:val="004D4740"/>
    <w:rsid w:val="004D61B7"/>
    <w:rsid w:val="004E5AF2"/>
    <w:rsid w:val="004F1ECE"/>
    <w:rsid w:val="00500D16"/>
    <w:rsid w:val="005024E5"/>
    <w:rsid w:val="0052243F"/>
    <w:rsid w:val="005258A1"/>
    <w:rsid w:val="005339DA"/>
    <w:rsid w:val="00536EB0"/>
    <w:rsid w:val="00544398"/>
    <w:rsid w:val="0055769C"/>
    <w:rsid w:val="0058741A"/>
    <w:rsid w:val="00591DEE"/>
    <w:rsid w:val="00592B67"/>
    <w:rsid w:val="005A2A9F"/>
    <w:rsid w:val="005A4537"/>
    <w:rsid w:val="005F10D6"/>
    <w:rsid w:val="005F6500"/>
    <w:rsid w:val="00621DDD"/>
    <w:rsid w:val="00627C09"/>
    <w:rsid w:val="006371CD"/>
    <w:rsid w:val="006447AD"/>
    <w:rsid w:val="00661F2E"/>
    <w:rsid w:val="00664554"/>
    <w:rsid w:val="006A2412"/>
    <w:rsid w:val="006B71DB"/>
    <w:rsid w:val="006B7848"/>
    <w:rsid w:val="006D3329"/>
    <w:rsid w:val="006F5B2A"/>
    <w:rsid w:val="00703E19"/>
    <w:rsid w:val="0071137F"/>
    <w:rsid w:val="00721616"/>
    <w:rsid w:val="007261FF"/>
    <w:rsid w:val="00737B6F"/>
    <w:rsid w:val="007432A0"/>
    <w:rsid w:val="00746AFD"/>
    <w:rsid w:val="00750A17"/>
    <w:rsid w:val="00762AA3"/>
    <w:rsid w:val="0078763F"/>
    <w:rsid w:val="007904A2"/>
    <w:rsid w:val="00791664"/>
    <w:rsid w:val="007955C2"/>
    <w:rsid w:val="007B4253"/>
    <w:rsid w:val="007D6789"/>
    <w:rsid w:val="007E6F6B"/>
    <w:rsid w:val="007F3C98"/>
    <w:rsid w:val="007F4712"/>
    <w:rsid w:val="0080284C"/>
    <w:rsid w:val="00820202"/>
    <w:rsid w:val="00847D42"/>
    <w:rsid w:val="00852E64"/>
    <w:rsid w:val="0086185A"/>
    <w:rsid w:val="00863070"/>
    <w:rsid w:val="00865A1E"/>
    <w:rsid w:val="0086631C"/>
    <w:rsid w:val="0089152C"/>
    <w:rsid w:val="008B6CBE"/>
    <w:rsid w:val="008D3659"/>
    <w:rsid w:val="00907F96"/>
    <w:rsid w:val="009111A8"/>
    <w:rsid w:val="00913D4D"/>
    <w:rsid w:val="00914438"/>
    <w:rsid w:val="00914932"/>
    <w:rsid w:val="0093577E"/>
    <w:rsid w:val="009369BC"/>
    <w:rsid w:val="009779A7"/>
    <w:rsid w:val="009C67A9"/>
    <w:rsid w:val="009F43A4"/>
    <w:rsid w:val="00A03CFB"/>
    <w:rsid w:val="00A3322C"/>
    <w:rsid w:val="00A83F3A"/>
    <w:rsid w:val="00AB5582"/>
    <w:rsid w:val="00AB7AB0"/>
    <w:rsid w:val="00AD1E21"/>
    <w:rsid w:val="00B06D05"/>
    <w:rsid w:val="00B107BF"/>
    <w:rsid w:val="00B168CE"/>
    <w:rsid w:val="00B37DE8"/>
    <w:rsid w:val="00B467C4"/>
    <w:rsid w:val="00B53A49"/>
    <w:rsid w:val="00B6132C"/>
    <w:rsid w:val="00B640BA"/>
    <w:rsid w:val="00B73AD2"/>
    <w:rsid w:val="00B8470D"/>
    <w:rsid w:val="00B85256"/>
    <w:rsid w:val="00B94F33"/>
    <w:rsid w:val="00BC40CD"/>
    <w:rsid w:val="00BD5E3C"/>
    <w:rsid w:val="00C10B96"/>
    <w:rsid w:val="00C2498E"/>
    <w:rsid w:val="00C557E8"/>
    <w:rsid w:val="00C714AD"/>
    <w:rsid w:val="00C760E9"/>
    <w:rsid w:val="00C83C88"/>
    <w:rsid w:val="00C856FA"/>
    <w:rsid w:val="00C95CCC"/>
    <w:rsid w:val="00CA7BF7"/>
    <w:rsid w:val="00CE6B1E"/>
    <w:rsid w:val="00D143A7"/>
    <w:rsid w:val="00D460FD"/>
    <w:rsid w:val="00D62D19"/>
    <w:rsid w:val="00D77466"/>
    <w:rsid w:val="00D80B71"/>
    <w:rsid w:val="00DC0BFD"/>
    <w:rsid w:val="00DC51A6"/>
    <w:rsid w:val="00DD44D6"/>
    <w:rsid w:val="00E25D83"/>
    <w:rsid w:val="00E508A8"/>
    <w:rsid w:val="00E64D86"/>
    <w:rsid w:val="00E9295D"/>
    <w:rsid w:val="00ED3BA8"/>
    <w:rsid w:val="00EE61E9"/>
    <w:rsid w:val="00F05D4D"/>
    <w:rsid w:val="00F32AC5"/>
    <w:rsid w:val="00F84EC6"/>
    <w:rsid w:val="00FA330C"/>
    <w:rsid w:val="00FA4AC2"/>
    <w:rsid w:val="00FA6496"/>
    <w:rsid w:val="00FB2566"/>
    <w:rsid w:val="00FC0F3F"/>
    <w:rsid w:val="00FD4A7C"/>
    <w:rsid w:val="00FE4410"/>
    <w:rsid w:val="00FF0811"/>
    <w:rsid w:val="00FF71B2"/>
    <w:rsid w:val="06F73561"/>
    <w:rsid w:val="18412D31"/>
    <w:rsid w:val="28CB090E"/>
    <w:rsid w:val="2C696444"/>
    <w:rsid w:val="3A346675"/>
    <w:rsid w:val="568D7CF4"/>
    <w:rsid w:val="6E282E37"/>
    <w:rsid w:val="70783AC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7AB0"/>
    <w:pPr>
      <w:widowControl w:val="0"/>
      <w:jc w:val="both"/>
    </w:pPr>
    <w:rPr>
      <w:rFonts w:ascii="Calibri" w:hAnsi="Calibri"/>
      <w:szCs w:val="24"/>
    </w:rPr>
  </w:style>
  <w:style w:type="paragraph" w:styleId="1">
    <w:name w:val="heading 1"/>
    <w:basedOn w:val="a"/>
    <w:next w:val="a"/>
    <w:link w:val="1Char"/>
    <w:uiPriority w:val="99"/>
    <w:qFormat/>
    <w:rsid w:val="00AB7AB0"/>
    <w:pPr>
      <w:spacing w:beforeAutospacing="1" w:afterAutospacing="1"/>
      <w:jc w:val="left"/>
      <w:outlineLvl w:val="0"/>
    </w:pPr>
    <w:rPr>
      <w:rFonts w:ascii="宋体" w:hAnsi="宋体"/>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AB7AB0"/>
    <w:rPr>
      <w:rFonts w:ascii="宋体" w:eastAsia="宋体" w:hAnsi="宋体" w:cs="Times New Roman"/>
      <w:b/>
      <w:kern w:val="44"/>
      <w:sz w:val="48"/>
      <w:szCs w:val="48"/>
    </w:rPr>
  </w:style>
  <w:style w:type="paragraph" w:styleId="a3">
    <w:name w:val="footnote text"/>
    <w:basedOn w:val="a"/>
    <w:link w:val="Char"/>
    <w:uiPriority w:val="99"/>
    <w:semiHidden/>
    <w:rsid w:val="00AB7AB0"/>
    <w:pPr>
      <w:snapToGrid w:val="0"/>
      <w:jc w:val="left"/>
    </w:pPr>
    <w:rPr>
      <w:sz w:val="18"/>
      <w:szCs w:val="18"/>
    </w:rPr>
  </w:style>
  <w:style w:type="character" w:customStyle="1" w:styleId="Char">
    <w:name w:val="脚注文本 Char"/>
    <w:basedOn w:val="a0"/>
    <w:link w:val="a3"/>
    <w:uiPriority w:val="99"/>
    <w:semiHidden/>
    <w:locked/>
    <w:rsid w:val="00AB7AB0"/>
    <w:rPr>
      <w:rFonts w:cs="Times New Roman"/>
      <w:sz w:val="18"/>
      <w:szCs w:val="18"/>
    </w:rPr>
  </w:style>
  <w:style w:type="character" w:styleId="a4">
    <w:name w:val="Strong"/>
    <w:basedOn w:val="a0"/>
    <w:uiPriority w:val="99"/>
    <w:qFormat/>
    <w:rsid w:val="00AB7AB0"/>
    <w:rPr>
      <w:rFonts w:cs="Times New Roman"/>
      <w:b/>
    </w:rPr>
  </w:style>
  <w:style w:type="character" w:styleId="a5">
    <w:name w:val="Hyperlink"/>
    <w:basedOn w:val="a0"/>
    <w:uiPriority w:val="99"/>
    <w:rsid w:val="00AB7AB0"/>
    <w:rPr>
      <w:rFonts w:cs="Times New Roman"/>
      <w:color w:val="338DE6"/>
      <w:u w:val="none"/>
    </w:rPr>
  </w:style>
  <w:style w:type="character" w:styleId="a6">
    <w:name w:val="footnote reference"/>
    <w:basedOn w:val="a0"/>
    <w:uiPriority w:val="99"/>
    <w:semiHidden/>
    <w:rsid w:val="00AB7AB0"/>
    <w:rPr>
      <w:rFonts w:cs="Times New Roman"/>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11</Pages>
  <Words>10622</Words>
  <Characters>1287</Characters>
  <Application>Microsoft Office Word</Application>
  <DocSecurity>0</DocSecurity>
  <Lines>10</Lines>
  <Paragraphs>23</Paragraphs>
  <ScaleCrop>false</ScaleCrop>
  <Company>CHINA</Company>
  <LinksUpToDate>false</LinksUpToDate>
  <CharactersWithSpaces>11886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1</cp:lastModifiedBy>
  <cp:revision>72</cp:revision>
  <dcterms:created xsi:type="dcterms:W3CDTF">2021-07-29T07:40:00Z</dcterms:created>
  <dcterms:modified xsi:type="dcterms:W3CDTF">2025-03-04T22:43:00Z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E1B989B066A04A68BD9799CD88D30AF7</vt:lpwstr>
  </property>
</Properties>
</file>