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FE78B8">
      <w:pPr>
        <w:pStyle w:val="9"/>
        <w:rPr>
          <w:rFonts w:hint="eastAsia"/>
          <w:lang w:eastAsia="zh-CN"/>
        </w:rPr>
      </w:pPr>
      <w:r>
        <w:t>山东恒美电子实验室发布凯氏定氮仪核心认知与原理解析——</w:t>
      </w:r>
      <w:r>
        <w:rPr>
          <w:rFonts w:hint="eastAsia"/>
          <w:lang w:val="en-US" w:eastAsia="zh-CN"/>
        </w:rPr>
        <w:t>200+</w:t>
      </w:r>
      <w:r>
        <w:t>关键问题专业解答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连载</w:t>
      </w:r>
      <w:r>
        <w:rPr>
          <w:rFonts w:hint="eastAsia"/>
          <w:lang w:eastAsia="zh-CN"/>
        </w:rPr>
        <w:t>）</w:t>
      </w:r>
    </w:p>
    <w:p w14:paraId="699C6383">
      <w:pPr>
        <w:pStyle w:val="9"/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spacing w:val="0"/>
          <w:sz w:val="28"/>
          <w:szCs w:val="28"/>
          <w:shd w:val="clear" w:fill="F9FAFB"/>
        </w:rPr>
        <w:t>为助力行业从业者深入掌握凯氏定氮仪的基础认知与核心原理，山东恒美电子科技有限公司实验室结合标准解读与新手咨询热点，整理发布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spacing w:val="0"/>
          <w:sz w:val="28"/>
          <w:szCs w:val="28"/>
          <w:shd w:val="clear" w:fill="F9FAFB"/>
          <w:lang w:val="en-US" w:eastAsia="zh-CN"/>
        </w:rPr>
        <w:t>200+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spacing w:val="0"/>
          <w:sz w:val="28"/>
          <w:szCs w:val="28"/>
          <w:shd w:val="clear" w:fill="F9FAFB"/>
        </w:rPr>
        <w:t>关键问题的专业解答。山东恒美电子科技有限公司专注于各类检测仪器的研发、生产与销售，凭借专业的技术团队与完善的实验室支撑，始终致力于为行业提供精准、可靠的检测设备及技术服务，此次分享旨在为检测人员扫清知识盲区，保障检测工作的准确性与规范性。</w:t>
      </w:r>
    </w:p>
    <w:p w14:paraId="793423D3">
      <w:pPr>
        <w:pStyle w:val="4"/>
      </w:pPr>
      <w:r>
        <w:t>一、凯氏定氮仪测的 “氮” 包含哪些形态？有机氮和无机氮都能测吗？</w:t>
      </w:r>
    </w:p>
    <w:p w14:paraId="050209A7">
      <w:pPr>
        <w:pStyle w:val="16"/>
        <w:numPr>
          <w:ilvl w:val="0"/>
          <w:numId w:val="1"/>
        </w:numPr>
      </w:pPr>
      <w:r>
        <w:rPr>
          <w:b/>
          <w:bCs/>
        </w:rPr>
        <w:t>可检测的氮形态</w:t>
      </w:r>
      <w:r>
        <w:t>：凯氏定氮仪核心检测对象是样品中的 “总氮”，但对氮形态有一定选择性；</w:t>
      </w:r>
    </w:p>
    <w:p w14:paraId="5480D2E0">
      <w:pPr>
        <w:pStyle w:val="16"/>
        <w:numPr>
          <w:ilvl w:val="0"/>
          <w:numId w:val="1"/>
        </w:numPr>
      </w:pPr>
      <w:r>
        <w:rPr>
          <w:b/>
          <w:bCs/>
        </w:rPr>
        <w:t>有机氮覆盖范围</w:t>
      </w:r>
      <w:r>
        <w:t>：绝大多数有机氮可检测，包括蛋白质、肽类、氨基酸、酰胺、生物碱、尿素等（需通过消化步骤将有机氮转化为铵盐）；</w:t>
      </w:r>
    </w:p>
    <w:p w14:paraId="4DCF932E">
      <w:pPr>
        <w:pStyle w:val="16"/>
        <w:numPr>
          <w:ilvl w:val="0"/>
          <w:numId w:val="1"/>
        </w:numPr>
      </w:pPr>
      <w:r>
        <w:rPr>
          <w:b/>
          <w:bCs/>
        </w:rPr>
        <w:t>无机氮检测条件</w:t>
      </w:r>
      <w:r>
        <w:t>：</w:t>
      </w:r>
    </w:p>
    <w:p w14:paraId="01579C76">
      <w:pPr>
        <w:pStyle w:val="16"/>
        <w:numPr>
          <w:ilvl w:val="1"/>
          <w:numId w:val="2"/>
        </w:numPr>
      </w:pPr>
      <w:r>
        <w:t>铵态氮（NH₄⁺-N）：无需消化，可直接通过蒸馏检测；</w:t>
      </w:r>
    </w:p>
    <w:p w14:paraId="18A2C6F5">
      <w:pPr>
        <w:pStyle w:val="16"/>
        <w:numPr>
          <w:ilvl w:val="1"/>
          <w:numId w:val="2"/>
        </w:numPr>
      </w:pPr>
      <w:r>
        <w:t>硝态氮（NO₃⁻-N）：常规凯氏法无法直接检测，需加入水杨酸、硫代硫酸钠等预处理试剂，将硝态氮还原为铵态氮后再检测；</w:t>
      </w:r>
    </w:p>
    <w:p w14:paraId="68977C21">
      <w:pPr>
        <w:pStyle w:val="16"/>
        <w:numPr>
          <w:ilvl w:val="1"/>
          <w:numId w:val="2"/>
        </w:numPr>
      </w:pPr>
      <w:r>
        <w:t>亚硝态氮（NO₂⁻-N）：含量极低时可忽略，若含量较高需预处理，否则会干扰消化过程。</w:t>
      </w:r>
    </w:p>
    <w:p w14:paraId="35DD40EC">
      <w:pPr>
        <w:pStyle w:val="4"/>
      </w:pPr>
      <w:r>
        <w:t>二、凯氏定氮法的消化、蒸馏、滴定三步，哪一步对结果准确性影响最大？</w:t>
      </w:r>
    </w:p>
    <w:p w14:paraId="2BA22487">
      <w:pPr>
        <w:pStyle w:val="16"/>
      </w:pPr>
      <w:r>
        <w:rPr>
          <w:b/>
          <w:bCs/>
        </w:rPr>
        <w:t>消化步骤对结果准确性影响最大</w:t>
      </w:r>
      <w:r>
        <w:t>，三步关键影响点及原因如下：</w:t>
      </w:r>
    </w:p>
    <w:p w14:paraId="6B1CFC3B">
      <w:pPr>
        <w:pStyle w:val="16"/>
        <w:numPr>
          <w:ilvl w:val="0"/>
          <w:numId w:val="3"/>
        </w:numPr>
      </w:pPr>
      <w:r>
        <w:rPr>
          <w:b/>
          <w:bCs/>
        </w:rPr>
        <w:t>消化步骤</w:t>
      </w:r>
      <w:r>
        <w:t>：</w:t>
      </w:r>
    </w:p>
    <w:p w14:paraId="414CE038">
      <w:pPr>
        <w:pStyle w:val="16"/>
        <w:numPr>
          <w:ilvl w:val="1"/>
          <w:numId w:val="2"/>
        </w:numPr>
      </w:pPr>
      <w:r>
        <w:t>核心作用：将样品中的有机氮完全转化为硫酸铵（(NH₄)₂SO₄），若消化不完全，有机氮未彻底释放，会直接导致检测结果偏低；</w:t>
      </w:r>
    </w:p>
    <w:p w14:paraId="0B2AF03D">
      <w:pPr>
        <w:pStyle w:val="16"/>
        <w:numPr>
          <w:ilvl w:val="1"/>
          <w:numId w:val="2"/>
        </w:numPr>
      </w:pPr>
      <w:r>
        <w:t>关键影响因素：消化温度（需控制在 360-410℃，温度过低消化慢、不彻底，过高易导致铵盐挥发）、催化剂（如硫酸铜、硫酸钾，用量不足会延缓消化速度）、样品是否完全碳化（若有黑色残渣残留，说明有机氮未完全转化）。</w:t>
      </w:r>
    </w:p>
    <w:p w14:paraId="10B6783F">
      <w:pPr>
        <w:pStyle w:val="16"/>
        <w:numPr>
          <w:ilvl w:val="0"/>
          <w:numId w:val="4"/>
        </w:numPr>
      </w:pPr>
      <w:r>
        <w:rPr>
          <w:b/>
          <w:bCs/>
        </w:rPr>
        <w:t>蒸馏步骤</w:t>
      </w:r>
      <w:r>
        <w:t>：影响因素为氢氧化钠用量（需过量以中和硫酸并提供强碱性环境，使铵盐转化为氨，用量不足会导致氨释放不完全）、蒸馏温度与时间（温度过低蒸馏慢，时间不足氨未完全蒸出），但可通过规范操作（如观察溶液是否呈深蓝色判断碱过量）降低误差。</w:t>
      </w:r>
    </w:p>
    <w:p w14:paraId="381FA4D1">
      <w:pPr>
        <w:pStyle w:val="16"/>
        <w:numPr>
          <w:ilvl w:val="0"/>
          <w:numId w:val="4"/>
        </w:numPr>
      </w:pPr>
      <w:r>
        <w:rPr>
          <w:b/>
          <w:bCs/>
        </w:rPr>
        <w:t>滴定步骤</w:t>
      </w:r>
      <w:r>
        <w:t>：误差主要来自终点判断（需熟练掌握指示剂变色规律）、滴定管精度（需校准），但通过平行实验可减少偶然误差，对结果的系统性影响小于消化步骤。</w:t>
      </w:r>
    </w:p>
    <w:p w14:paraId="54B3FD5E">
      <w:pPr>
        <w:pStyle w:val="4"/>
      </w:pPr>
      <w:r>
        <w:t>三、蛋白质换算系数是固定的吗？粮食、肉类、乳制品的换算系数分别是多少？</w:t>
      </w:r>
    </w:p>
    <w:p w14:paraId="1F9EDC6F">
      <w:pPr>
        <w:pStyle w:val="16"/>
      </w:pPr>
      <w:r>
        <w:t>蛋白质换算系数</w:t>
      </w:r>
      <w:r>
        <w:rPr>
          <w:b/>
          <w:bCs/>
        </w:rPr>
        <w:t>不固定</w:t>
      </w:r>
      <w:r>
        <w:t>，其数值取决于样品中蛋白质的氨基酸组成（尤其是氮元素在蛋白质中的平均含量），不同品类样品换算系数不同，具体如下：</w:t>
      </w:r>
    </w:p>
    <w:p w14:paraId="1FD2D074">
      <w:pPr>
        <w:pStyle w:val="16"/>
        <w:numPr>
          <w:ilvl w:val="0"/>
          <w:numId w:val="5"/>
        </w:numPr>
      </w:pPr>
      <w:r>
        <w:rPr>
          <w:b/>
          <w:bCs/>
        </w:rPr>
        <w:t>粮食类</w:t>
      </w:r>
      <w:r>
        <w:t>：</w:t>
      </w:r>
    </w:p>
    <w:p w14:paraId="2595B86F">
      <w:pPr>
        <w:pStyle w:val="16"/>
        <w:numPr>
          <w:ilvl w:val="1"/>
          <w:numId w:val="2"/>
        </w:numPr>
      </w:pPr>
      <w:r>
        <w:t>通用换算系数为</w:t>
      </w:r>
      <w:r>
        <w:rPr>
          <w:b/>
          <w:bCs/>
        </w:rPr>
        <w:t>6.25</w:t>
      </w:r>
      <w:r>
        <w:t>（适用于小麦、水稻、玉米、燕麦等多数谷物，因谷物蛋白质中氮含量约为 16%，1/16%=6.25）；</w:t>
      </w:r>
    </w:p>
    <w:p w14:paraId="7F67D76D">
      <w:pPr>
        <w:pStyle w:val="16"/>
        <w:numPr>
          <w:ilvl w:val="1"/>
          <w:numId w:val="2"/>
        </w:numPr>
      </w:pPr>
      <w:r>
        <w:t>特例：大米（精米）换算系数为 6.25，全麦粉因含少量非蛋白氮，仍沿用 6.25（行业默认标准）。</w:t>
      </w:r>
    </w:p>
    <w:p w14:paraId="5A5419B8">
      <w:pPr>
        <w:pStyle w:val="16"/>
        <w:numPr>
          <w:ilvl w:val="0"/>
          <w:numId w:val="6"/>
        </w:numPr>
      </w:pPr>
      <w:r>
        <w:rPr>
          <w:b/>
          <w:bCs/>
        </w:rPr>
        <w:t>肉类</w:t>
      </w:r>
      <w:r>
        <w:t>：</w:t>
      </w:r>
    </w:p>
    <w:p w14:paraId="370AD059">
      <w:pPr>
        <w:pStyle w:val="16"/>
        <w:numPr>
          <w:ilvl w:val="1"/>
          <w:numId w:val="2"/>
        </w:numPr>
      </w:pPr>
      <w:r>
        <w:t>猪肉、牛肉、羊肉、鸡肉等畜禽肉通用换算系数为</w:t>
      </w:r>
      <w:r>
        <w:rPr>
          <w:b/>
          <w:bCs/>
        </w:rPr>
        <w:t>6.25</w:t>
      </w:r>
      <w:r>
        <w:t>（肉类蛋白质氮含量约 16%）；</w:t>
      </w:r>
    </w:p>
    <w:p w14:paraId="2A676BC4">
      <w:pPr>
        <w:pStyle w:val="16"/>
        <w:numPr>
          <w:ilvl w:val="1"/>
          <w:numId w:val="2"/>
        </w:numPr>
      </w:pPr>
      <w:r>
        <w:t>鱼类、虾类等水产品：部分品种为 6.25，少数高蛋白鱼类（如鳕鱼）因氨基酸组成差异，仍以 6.25 为行业通用值（GB 5009.5-2016 未做特殊区分）。</w:t>
      </w:r>
    </w:p>
    <w:p w14:paraId="2C42FC79">
      <w:pPr>
        <w:pStyle w:val="16"/>
        <w:numPr>
          <w:ilvl w:val="0"/>
          <w:numId w:val="7"/>
        </w:numPr>
      </w:pPr>
      <w:r>
        <w:rPr>
          <w:b/>
          <w:bCs/>
        </w:rPr>
        <w:t>乳制品</w:t>
      </w:r>
      <w:r>
        <w:t>：</w:t>
      </w:r>
    </w:p>
    <w:p w14:paraId="16BEC0BA">
      <w:pPr>
        <w:pStyle w:val="16"/>
        <w:numPr>
          <w:ilvl w:val="1"/>
          <w:numId w:val="2"/>
        </w:numPr>
      </w:pPr>
      <w:r>
        <w:t>牛奶、酸奶、奶粉等通用换算系数为</w:t>
      </w:r>
      <w:r>
        <w:rPr>
          <w:b/>
          <w:bCs/>
        </w:rPr>
        <w:t>6.38</w:t>
      </w:r>
      <w:r>
        <w:t>（乳制品中酪蛋白含量高，其氮含量约 15.67%，1/15.67%≈6.38）；</w:t>
      </w:r>
    </w:p>
    <w:p w14:paraId="4926E1D0">
      <w:pPr>
        <w:pStyle w:val="16"/>
        <w:numPr>
          <w:ilvl w:val="1"/>
          <w:numId w:val="2"/>
        </w:numPr>
      </w:pPr>
      <w:r>
        <w:t>奶酪：因蛋白质含量更高（约 25-35%），但氨基酸组成与牛奶接近，仍沿用 6.38。</w:t>
      </w:r>
    </w:p>
    <w:p w14:paraId="1AB35A05">
      <w:pPr>
        <w:pStyle w:val="4"/>
      </w:pPr>
      <w:r>
        <w:t>四、GB 5009.5-2016 标准中，凯氏定氮法的第一法和第二法有什么区别？适用场景不同吗？</w:t>
      </w:r>
    </w:p>
    <w:p w14:paraId="5B8E6DB8">
      <w:pPr>
        <w:pStyle w:val="16"/>
      </w:pPr>
      <w:r>
        <w:t>GB 5009.5-2016 中凯氏定氮法的第一法（常量法）与第二法（微量法）核心区别在于 “样品用量、试剂用量及仪器规格”，适用场景明确区分，具体如下：</w:t>
      </w:r>
    </w:p>
    <w:p w14:paraId="59BF35D9">
      <w:pPr>
        <w:pStyle w:val="16"/>
      </w:pP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2760"/>
        <w:gridCol w:w="2760"/>
        <w:gridCol w:w="2760"/>
      </w:tblGrid>
      <w:tr w14:paraId="2BF960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034E932">
            <w:pPr>
              <w:pStyle w:val="16"/>
            </w:pPr>
            <w:r>
              <w:t>对比项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275F171">
            <w:pPr>
              <w:pStyle w:val="16"/>
            </w:pPr>
            <w:r>
              <w:t>第一法（常量凯氏定氮法）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A53C02F">
            <w:pPr>
              <w:pStyle w:val="16"/>
            </w:pPr>
            <w:r>
              <w:t>第二法（微量凯氏定氮法）</w:t>
            </w:r>
          </w:p>
        </w:tc>
      </w:tr>
      <w:tr w14:paraId="0D7514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D3F6D85">
            <w:pPr>
              <w:pStyle w:val="16"/>
            </w:pPr>
            <w:r>
              <w:t>样品用量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B349452">
            <w:pPr>
              <w:pStyle w:val="16"/>
            </w:pPr>
            <w:r>
              <w:t>固体样品 0.2-2.0g，液体样品 2-20mL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8AFB5F5">
            <w:pPr>
              <w:pStyle w:val="16"/>
            </w:pPr>
            <w:r>
              <w:t>固体样品 0.02-0.2g，液体样品 0.2-2mL</w:t>
            </w:r>
          </w:p>
        </w:tc>
      </w:tr>
      <w:tr w14:paraId="10B957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9AFFCCF">
            <w:pPr>
              <w:pStyle w:val="16"/>
            </w:pPr>
            <w:r>
              <w:t>硫酸用量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101F55D">
            <w:pPr>
              <w:pStyle w:val="16"/>
            </w:pPr>
            <w:r>
              <w:t>20-30mL（浓度 98%）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AD5B9AA">
            <w:pPr>
              <w:pStyle w:val="16"/>
            </w:pPr>
            <w:r>
              <w:t>5-10mL（浓度 98%）</w:t>
            </w:r>
          </w:p>
        </w:tc>
      </w:tr>
      <w:tr w14:paraId="7992D5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A721082">
            <w:pPr>
              <w:pStyle w:val="16"/>
            </w:pPr>
            <w:r>
              <w:t>蒸馏装置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80FB70C">
            <w:pPr>
              <w:pStyle w:val="16"/>
            </w:pPr>
            <w:r>
              <w:t>常量蒸馏瓶（容积 500mL 以上）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99114CC">
            <w:pPr>
              <w:pStyle w:val="16"/>
            </w:pPr>
            <w:r>
              <w:t>微量蒸馏装置（容积 100-250mL）</w:t>
            </w:r>
          </w:p>
        </w:tc>
      </w:tr>
      <w:tr w14:paraId="580EEB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08C1DC6">
            <w:pPr>
              <w:pStyle w:val="16"/>
            </w:pPr>
            <w:r>
              <w:t>吸收液用量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9DF3C23">
            <w:pPr>
              <w:pStyle w:val="16"/>
            </w:pPr>
            <w:r>
              <w:t>25-50mL 硼酸溶液（20g/L）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83136CA">
            <w:pPr>
              <w:pStyle w:val="16"/>
            </w:pPr>
            <w:r>
              <w:t>5-10mL 硼酸溶液（20g/L）</w:t>
            </w:r>
          </w:p>
        </w:tc>
      </w:tr>
      <w:tr w14:paraId="703AA3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B48ED95">
            <w:pPr>
              <w:pStyle w:val="16"/>
            </w:pPr>
            <w:r>
              <w:t>滴定剂浓度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3101C22">
            <w:pPr>
              <w:pStyle w:val="16"/>
            </w:pPr>
            <w:r>
              <w:t>0.1mol/L 盐酸或硫酸标准溶液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F6EBE3F">
            <w:pPr>
              <w:pStyle w:val="16"/>
            </w:pPr>
            <w:r>
              <w:t>0.01mol/L 盐酸或硫酸标准溶液</w:t>
            </w:r>
          </w:p>
        </w:tc>
      </w:tr>
      <w:tr w14:paraId="3951DC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20FE4D9">
            <w:pPr>
              <w:pStyle w:val="16"/>
            </w:pPr>
            <w:r>
              <w:rPr>
                <w:b/>
                <w:bCs/>
              </w:rPr>
              <w:t>适用场景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51A2CCC">
            <w:pPr>
              <w:pStyle w:val="16"/>
            </w:pPr>
            <w:r>
              <w:t>高氮含量样品（如肉类、豆类，蛋白质含量＞5%）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6A6E783">
            <w:pPr>
              <w:pStyle w:val="16"/>
            </w:pPr>
            <w:r>
              <w:t>低氮含量样品（如蔬菜、水果、饮料，蛋白质含量＜5%）</w:t>
            </w:r>
          </w:p>
        </w:tc>
      </w:tr>
    </w:tbl>
    <w:p w14:paraId="714B1895">
      <w:pPr>
        <w:pStyle w:val="4"/>
      </w:pPr>
      <w:r>
        <w:t>五、凯氏定氮仪的 “检出限” 和 “定量限” 有什么区别？低氮样品检测需满足哪个指标？</w:t>
      </w:r>
    </w:p>
    <w:p w14:paraId="0F3390AB">
      <w:pPr>
        <w:pStyle w:val="16"/>
        <w:numPr>
          <w:ilvl w:val="0"/>
          <w:numId w:val="8"/>
        </w:numPr>
      </w:pPr>
      <w:r>
        <w:rPr>
          <w:b/>
          <w:bCs/>
        </w:rPr>
        <w:t>核心区别</w:t>
      </w:r>
      <w:r>
        <w:t>：</w:t>
      </w:r>
    </w:p>
    <w:p w14:paraId="73A459A6">
      <w:pPr>
        <w:pStyle w:val="16"/>
        <w:numPr>
          <w:ilvl w:val="1"/>
          <w:numId w:val="2"/>
        </w:numPr>
      </w:pPr>
      <w:r>
        <w:rPr>
          <w:b/>
          <w:bCs/>
        </w:rPr>
        <w:t>检出限（LOD）</w:t>
      </w:r>
      <w:r>
        <w:t>：指仪器能 “识别样品中存在氮元素” 的最低浓度（或质量），仅需判断 “有 / 无”，无需准确定量，通常以 3 倍信噪比（S/N=3）计算；</w:t>
      </w:r>
    </w:p>
    <w:p w14:paraId="308C685B">
      <w:pPr>
        <w:pStyle w:val="16"/>
        <w:numPr>
          <w:ilvl w:val="1"/>
          <w:numId w:val="2"/>
        </w:numPr>
      </w:pPr>
      <w:r>
        <w:rPr>
          <w:b/>
          <w:bCs/>
        </w:rPr>
        <w:t>定量限（LOQ）</w:t>
      </w:r>
      <w:r>
        <w:t>：指仪器能 “准确测量氮元素含量” 的最低浓度（或质量），需满足结果的精密度（RSD≤10%）和准确度（误差≤±5%），通常以 10 倍信噪比（S/N=10）计算。</w:t>
      </w:r>
    </w:p>
    <w:p w14:paraId="3582BCD1">
      <w:pPr>
        <w:pStyle w:val="16"/>
        <w:numPr>
          <w:ilvl w:val="0"/>
          <w:numId w:val="9"/>
        </w:numPr>
      </w:pPr>
      <w:r>
        <w:rPr>
          <w:b/>
          <w:bCs/>
        </w:rPr>
        <w:t>低氮样品检测要求</w:t>
      </w:r>
      <w:r>
        <w:t>：需满足</w:t>
      </w:r>
      <w:r>
        <w:rPr>
          <w:b/>
          <w:bCs/>
        </w:rPr>
        <w:t>定量限</w:t>
      </w:r>
      <w:r>
        <w:t>指标。因低氮样品（如饮用水、果蔬汁）氮含量接近检出限，若仅满足检出限，结果可能存在较大误差；只有达到定量限，才能保证检测结果的准确性和可靠性，符合标准要求（如 GB 5009.5-2016 对低氮样品明确要求结果需满足定量限）。</w:t>
      </w:r>
    </w:p>
    <w:p w14:paraId="6C4AB6BD">
      <w:pPr>
        <w:pStyle w:val="4"/>
      </w:pPr>
      <w:r>
        <w:t>六、为什么说凯氏定氮法测的是 “粗蛋白”？它不能区分哪些含氮物质？</w:t>
      </w:r>
    </w:p>
    <w:p w14:paraId="78858E3E">
      <w:pPr>
        <w:pStyle w:val="16"/>
        <w:numPr>
          <w:ilvl w:val="0"/>
          <w:numId w:val="10"/>
        </w:numPr>
      </w:pPr>
      <w:r>
        <w:rPr>
          <w:b/>
          <w:bCs/>
        </w:rPr>
        <w:t>“粗蛋白” 的由来</w:t>
      </w:r>
      <w:r>
        <w:t>：凯氏定氮法的原理是 “检测样品总氮含量，再通过蛋白质换算系数（如 6.25）反推蛋白质含量”，但该方法无法区分 “蛋白氮” 与 “非蛋白氮”，计算出的蛋白质含量是 “总氮对应的理论蛋白质值”，因此称为 “粗蛋白”。</w:t>
      </w:r>
    </w:p>
    <w:p w14:paraId="4977CBF7">
      <w:pPr>
        <w:pStyle w:val="16"/>
        <w:numPr>
          <w:ilvl w:val="0"/>
          <w:numId w:val="10"/>
        </w:numPr>
      </w:pPr>
      <w:r>
        <w:rPr>
          <w:b/>
          <w:bCs/>
        </w:rPr>
        <w:t>无法区分的含氮物质</w:t>
      </w:r>
      <w:r>
        <w:t>：</w:t>
      </w:r>
    </w:p>
    <w:p w14:paraId="25957352">
      <w:pPr>
        <w:pStyle w:val="16"/>
        <w:numPr>
          <w:ilvl w:val="1"/>
          <w:numId w:val="2"/>
        </w:numPr>
      </w:pPr>
      <w:r>
        <w:t>天然非蛋白氮：如样品中的尿素、肌酐、生物碱（如茶叶中的咖啡碱）、酰胺（如谷氨酰胺）、硝酸盐（预处理未除尽时）；</w:t>
      </w:r>
    </w:p>
    <w:p w14:paraId="5D47722B">
      <w:pPr>
        <w:pStyle w:val="16"/>
        <w:numPr>
          <w:ilvl w:val="1"/>
          <w:numId w:val="2"/>
        </w:numPr>
      </w:pPr>
      <w:r>
        <w:t>外源添加非蛋白氮：如饲料中非法添加的三聚氰胺、尿素、硫酸铵等（2008 年 “三聚氰胺事件” 即因凯氏法无法区分三聚氰胺中的氮与蛋白氮）。</w:t>
      </w:r>
    </w:p>
    <w:p w14:paraId="45D09F53">
      <w:pPr>
        <w:pStyle w:val="4"/>
      </w:pPr>
      <w:r>
        <w:t>七、凯氏定氮仪的 “重复性” 和 “再现性” 指标有什么差异？第三方检测需满足哪个要求？</w:t>
      </w:r>
    </w:p>
    <w:p w14:paraId="02A5F26E">
      <w:pPr>
        <w:pStyle w:val="16"/>
        <w:numPr>
          <w:ilvl w:val="0"/>
          <w:numId w:val="11"/>
        </w:numPr>
      </w:pPr>
      <w:r>
        <w:rPr>
          <w:b/>
          <w:bCs/>
        </w:rPr>
        <w:t>指标差异</w:t>
      </w:r>
      <w:r>
        <w:t>：</w:t>
      </w:r>
    </w:p>
    <w:p w14:paraId="75943C5C">
      <w:pPr>
        <w:pStyle w:val="16"/>
      </w:pP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2247"/>
        <w:gridCol w:w="2345"/>
        <w:gridCol w:w="2247"/>
        <w:gridCol w:w="2427"/>
      </w:tblGrid>
      <w:tr w14:paraId="323177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4A02EB6">
            <w:pPr>
              <w:pStyle w:val="16"/>
            </w:pPr>
            <w:r>
              <w:t>指标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08A0688">
            <w:pPr>
              <w:pStyle w:val="16"/>
            </w:pPr>
            <w:r>
              <w:t>测试条件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968C460">
            <w:pPr>
              <w:pStyle w:val="16"/>
            </w:pPr>
            <w:r>
              <w:t>评价目的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773E8C3">
            <w:pPr>
              <w:pStyle w:val="16"/>
            </w:pPr>
            <w:r>
              <w:t>允许误差范围（行业默认）</w:t>
            </w:r>
          </w:p>
        </w:tc>
      </w:tr>
      <w:tr w14:paraId="4A5263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C1CF7B1">
            <w:pPr>
              <w:pStyle w:val="16"/>
            </w:pPr>
            <w:r>
              <w:t>重复性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8FF5CC6">
            <w:pPr>
              <w:pStyle w:val="16"/>
            </w:pPr>
            <w:r>
              <w:t>同一操作人员、同一台仪器、同一实验室、相同条件（如同一天），对同一样品连续检测 3-6 次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DBBA2C6">
            <w:pPr>
              <w:pStyle w:val="16"/>
            </w:pPr>
            <w:r>
              <w:t>评价仪器稳定性及操作一致性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AD521EE">
            <w:pPr>
              <w:pStyle w:val="16"/>
            </w:pPr>
            <w:r>
              <w:t>RSD≤3%（常量法）、RSD≤5%（微量法）</w:t>
            </w:r>
          </w:p>
        </w:tc>
      </w:tr>
      <w:tr w14:paraId="0E44EF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7228540">
            <w:pPr>
              <w:pStyle w:val="16"/>
            </w:pPr>
            <w:r>
              <w:t>再现性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033AC4A">
            <w:pPr>
              <w:pStyle w:val="16"/>
            </w:pPr>
            <w:r>
              <w:t>不同操作人员、不同仪器、不同实验室（或不同时间），对同一样品检测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C3C6441">
            <w:pPr>
              <w:pStyle w:val="16"/>
            </w:pPr>
            <w:r>
              <w:t>评价结果的通用性及实验室间一致性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E8D238C">
            <w:pPr>
              <w:pStyle w:val="16"/>
            </w:pPr>
            <w:r>
              <w:t>RSD≤8%（常量法）、RSD≤10%（微量法）</w:t>
            </w:r>
          </w:p>
        </w:tc>
      </w:tr>
    </w:tbl>
    <w:p w14:paraId="1266DB64">
      <w:pPr>
        <w:pStyle w:val="16"/>
        <w:numPr>
          <w:ilvl w:val="0"/>
          <w:numId w:val="12"/>
        </w:numPr>
      </w:pPr>
      <w:r>
        <w:rPr>
          <w:b/>
          <w:bCs/>
        </w:rPr>
        <w:t>第三方检测要求</w:t>
      </w:r>
      <w:r>
        <w:t>：需满足</w:t>
      </w:r>
      <w:r>
        <w:rPr>
          <w:b/>
          <w:bCs/>
        </w:rPr>
        <w:t>再现性</w:t>
      </w:r>
      <w:r>
        <w:t>指标。第三方检测机构的核心职责是提供 “具有公信力的检测报告”，结果需供不同方（如企业、监管部门）参考，若仅满足重复性，可能因仪器、人员差异导致结果不可比；而再现性可确保不同实验室、不同操作条件下结果的一致性，符合第三方检测的 “公正性、可比性” 要求。</w:t>
      </w:r>
    </w:p>
    <w:p w14:paraId="76EED824">
      <w:pPr>
        <w:pStyle w:val="4"/>
      </w:pPr>
      <w:r>
        <w:t>八、蒸馏时加入氢氧化钠的作用是中和硫酸吗？加过量会影响检测结果吗？</w:t>
      </w:r>
    </w:p>
    <w:p w14:paraId="03F19007">
      <w:pPr>
        <w:pStyle w:val="16"/>
        <w:numPr>
          <w:ilvl w:val="0"/>
          <w:numId w:val="13"/>
        </w:numPr>
      </w:pPr>
      <w:r>
        <w:rPr>
          <w:b/>
          <w:bCs/>
        </w:rPr>
        <w:t>氢氧化钠的核心作用</w:t>
      </w:r>
      <w:r>
        <w:t>：不仅是中和硫酸，更关键是 “提供强碱性环境”：</w:t>
      </w:r>
    </w:p>
    <w:p w14:paraId="381A78EA">
      <w:pPr>
        <w:pStyle w:val="16"/>
        <w:numPr>
          <w:ilvl w:val="1"/>
          <w:numId w:val="2"/>
        </w:numPr>
      </w:pPr>
      <w:r>
        <w:t>第一步：中和消化后溶液中的硫酸（H₂SO₄ + 2NaOH = Na₂SO₄ + 2H₂O），消除酸性环境对氨释放的抑制；</w:t>
      </w:r>
    </w:p>
    <w:p w14:paraId="3B0C22E6">
      <w:pPr>
        <w:pStyle w:val="16"/>
        <w:numPr>
          <w:ilvl w:val="1"/>
          <w:numId w:val="2"/>
        </w:numPr>
      </w:pPr>
      <w:r>
        <w:t>第二步：在强碱性条件下，使消化生成的硫酸铵转化为氨（(NH₄)₂SO₄ + 2NaOH △ Na₂SO₄ + 2NH₃↑ + 2H₂O），氨再通过蒸馏进入吸收液。</w:t>
      </w:r>
    </w:p>
    <w:p w14:paraId="34019535">
      <w:pPr>
        <w:pStyle w:val="16"/>
        <w:numPr>
          <w:ilvl w:val="0"/>
          <w:numId w:val="14"/>
        </w:numPr>
      </w:pPr>
      <w:r>
        <w:rPr>
          <w:b/>
          <w:bCs/>
        </w:rPr>
        <w:t>过量氢氧化钠的影响</w:t>
      </w:r>
      <w:r>
        <w:t>：</w:t>
      </w:r>
      <w:r>
        <w:rPr>
          <w:b/>
          <w:bCs/>
        </w:rPr>
        <w:t>正常操作下加过量不会影响检测结果，反而需确保过量</w:t>
      </w:r>
      <w:r>
        <w:t>：</w:t>
      </w:r>
    </w:p>
    <w:p w14:paraId="4D22E422">
      <w:pPr>
        <w:pStyle w:val="16"/>
        <w:numPr>
          <w:ilvl w:val="1"/>
          <w:numId w:val="2"/>
        </w:numPr>
      </w:pPr>
      <w:r>
        <w:t>若氢氧化钠不足：硫酸未完全中和，溶液呈酸性，铵盐无法转化为氨，导致氨释放不完全，结果偏低；</w:t>
      </w:r>
    </w:p>
    <w:p w14:paraId="11AEBA9A">
      <w:pPr>
        <w:pStyle w:val="16"/>
        <w:numPr>
          <w:ilvl w:val="1"/>
          <w:numId w:val="2"/>
        </w:numPr>
      </w:pPr>
      <w:r>
        <w:t>若过量过多：可能产生碱雾（NaOH 挥发），随氨进入硼酸吸收液，导致吸收液 pH 升高，干扰滴定终点判断，但通过 “加碱后观察溶液呈深蓝色（无酸性残留）” 及 “蒸馏装置加装防碱雾装置” 可避免该问题，行业操作中通常要求氢氧化钠过量 20-30%。</w:t>
      </w:r>
    </w:p>
    <w:p w14:paraId="4E0EE569">
      <w:pPr>
        <w:pStyle w:val="4"/>
      </w:pPr>
      <w:r>
        <w:t>九、硼酸吸收液的 pH 值控制在多少合适？偏离后会导致氨吸收不完全吗？</w:t>
      </w:r>
    </w:p>
    <w:p w14:paraId="097F71B5">
      <w:pPr>
        <w:pStyle w:val="16"/>
        <w:numPr>
          <w:ilvl w:val="0"/>
          <w:numId w:val="15"/>
        </w:numPr>
      </w:pPr>
      <w:r>
        <w:rPr>
          <w:b/>
          <w:bCs/>
        </w:rPr>
        <w:t>合适的 pH 值范围</w:t>
      </w:r>
      <w:r>
        <w:t>：硼酸吸收液的 pH 值需控制在</w:t>
      </w:r>
      <w:r>
        <w:rPr>
          <w:b/>
          <w:bCs/>
        </w:rPr>
        <w:t>2.8-4.0</w:t>
      </w:r>
      <w:r>
        <w:t>（行业通用标准，GB 5009.5-2016 推荐浓度为 20g/L 硼酸溶液，其 pH 值约为 4.0）。</w:t>
      </w:r>
    </w:p>
    <w:p w14:paraId="7114F421">
      <w:pPr>
        <w:pStyle w:val="16"/>
        <w:numPr>
          <w:ilvl w:val="0"/>
          <w:numId w:val="15"/>
        </w:numPr>
      </w:pPr>
      <w:r>
        <w:rPr>
          <w:b/>
          <w:bCs/>
        </w:rPr>
        <w:t>pH 偏离的影响</w:t>
      </w:r>
      <w:r>
        <w:t>：会导致氨吸收不完全，具体如下：</w:t>
      </w:r>
    </w:p>
    <w:p w14:paraId="28D1D087">
      <w:pPr>
        <w:pStyle w:val="16"/>
        <w:numPr>
          <w:ilvl w:val="1"/>
          <w:numId w:val="2"/>
        </w:numPr>
      </w:pPr>
      <w:r>
        <w:t>pH 值过高（＞4.0）：硼酸溶液碱性增强，氨（NH₃）是碱性气体，与硼酸的反应（H₃BO₃ + NH₃ = NH₄H₂BO₃）会减弱，部分氨无法被吸收，随尾气排出，导致检测结果偏低；</w:t>
      </w:r>
    </w:p>
    <w:p w14:paraId="5165BD47">
      <w:pPr>
        <w:pStyle w:val="16"/>
        <w:numPr>
          <w:ilvl w:val="1"/>
          <w:numId w:val="2"/>
        </w:numPr>
      </w:pPr>
      <w:r>
        <w:t>pH 值过低（＜2.8）：硼酸溶液酸性过强，虽能吸收氨，但会导致后续滴定过程中 “指示剂变色不敏锐”（如甲基红 - 溴甲酚绿指示剂在强酸性下变色范围偏移），增加终点判断误差，间接影响结果准确性。</w:t>
      </w:r>
    </w:p>
    <w:p w14:paraId="79FD86B3">
      <w:pPr>
        <w:pStyle w:val="4"/>
      </w:pPr>
      <w:r>
        <w:t>十、滴定终点的颜色变化是怎样的？甲基红 - 溴甲酚绿指示剂的变色范围是多少？</w:t>
      </w:r>
    </w:p>
    <w:p w14:paraId="2693A7B8">
      <w:pPr>
        <w:pStyle w:val="16"/>
        <w:numPr>
          <w:ilvl w:val="0"/>
          <w:numId w:val="16"/>
        </w:numPr>
      </w:pPr>
      <w:r>
        <w:rPr>
          <w:b/>
          <w:bCs/>
        </w:rPr>
        <w:t>滴定终点颜色变化</w:t>
      </w:r>
      <w:r>
        <w:t>：凯氏定氮法滴定采用 “盐酸或硫酸标准溶液” 滴定硼酸吸收液（含甲基红 - 溴甲酚绿混合指示剂），终点颜色变化为 **“酒红色（或紫红色）→ 灰色（过渡色）→ 蓝绿色”**，实际操作中以 “灰色刚变为蓝绿色，且 30 秒内不褪色” 为滴定终点（避免滴过量）。</w:t>
      </w:r>
    </w:p>
    <w:p w14:paraId="3A2466ED">
      <w:pPr>
        <w:pStyle w:val="16"/>
        <w:numPr>
          <w:ilvl w:val="0"/>
          <w:numId w:val="16"/>
        </w:numPr>
      </w:pPr>
      <w:r>
        <w:rPr>
          <w:b/>
          <w:bCs/>
        </w:rPr>
        <w:t>甲基红 - 溴甲酚绿指示剂的变色范围</w:t>
      </w:r>
      <w:r>
        <w:t>：该混合指示剂（通常按 1:3 体积比混合）的 pH 变色范围为</w:t>
      </w:r>
      <w:r>
        <w:rPr>
          <w:b/>
          <w:bCs/>
        </w:rPr>
        <w:t>4.4-6.2</w:t>
      </w:r>
      <w:r>
        <w:t>，具体对应颜色：</w:t>
      </w:r>
    </w:p>
    <w:p w14:paraId="33552A9F">
      <w:pPr>
        <w:pStyle w:val="16"/>
        <w:numPr>
          <w:ilvl w:val="1"/>
          <w:numId w:val="2"/>
        </w:numPr>
      </w:pPr>
      <w:r>
        <w:t>pH＜4.4：酒红色（甲基红的酸性色）；</w:t>
      </w:r>
    </w:p>
    <w:p w14:paraId="4B6238D9">
      <w:pPr>
        <w:pStyle w:val="16"/>
        <w:numPr>
          <w:ilvl w:val="1"/>
          <w:numId w:val="2"/>
        </w:numPr>
      </w:pPr>
      <w:r>
        <w:t>pH 4.4-6.2：灰色（过渡色，两种指示剂颜色叠加）；</w:t>
      </w:r>
    </w:p>
    <w:p w14:paraId="0E0265D0">
      <w:pPr>
        <w:pStyle w:val="16"/>
        <w:numPr>
          <w:ilvl w:val="1"/>
          <w:numId w:val="2"/>
        </w:numPr>
      </w:pPr>
      <w:r>
        <w:t>pH＞6.2：蓝绿色（溴甲酚绿的碱性色）；</w:t>
      </w:r>
    </w:p>
    <w:p w14:paraId="018A1D65">
      <w:pPr>
        <w:pStyle w:val="16"/>
      </w:pPr>
      <w:r>
        <w:t>因硼酸吸收液与氨反应生成的 NH₄H₂BO₃溶液 pH 约为 5.0，处于指示剂变色范围内，故滴定过程中颜色变化清晰，便于判断终点。</w:t>
      </w:r>
      <w:bookmarkStart w:id="0" w:name="_GoBack"/>
      <w:bookmarkEnd w:id="0"/>
    </w:p>
    <w:sectPr>
      <w:pgSz w:w="11906" w:h="16838"/>
      <w:pgMar w:top="1440" w:right="1440" w:bottom="1440" w:left="144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lowerLetter"/>
      <w:lvlText w:val="%2.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lowerRoman"/>
      <w:lvlText w:val="%3.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decimal"/>
      <w:lvlText w:val="%4.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lowerLetter"/>
      <w:lvlText w:val="%5.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lowerRoman"/>
      <w:lvlText w:val="%6.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decimal"/>
      <w:lvlText w:val="%7.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lowerLetter"/>
      <w:lvlText w:val="%8.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lowerRoman"/>
      <w:lvlText w:val="%9."/>
      <w:lvlJc w:val="left"/>
      <w:pPr>
        <w:ind w:left="3744" w:hanging="288"/>
      </w:pPr>
      <w:rPr>
        <w:color w:val="3370FF"/>
        <w:sz w:val="22"/>
        <w:szCs w:val="22"/>
      </w:rPr>
    </w:lvl>
  </w:abstractNum>
  <w:abstractNum w:abstractNumId="1">
    <w:nsid w:val="59ADCABA"/>
    <w:multiLevelType w:val="multilevel"/>
    <w:tmpl w:val="59ADCABA"/>
    <w:lvl w:ilvl="0" w:tentative="0">
      <w:start w:val="1"/>
      <w:numFmt w:val="bullet"/>
      <w:lvlText w:val="•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bullet"/>
      <w:lvlText w:val="◦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bullet"/>
      <w:lvlText w:val="▪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bullet"/>
      <w:lvlText w:val="•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bullet"/>
      <w:lvlText w:val="◦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bullet"/>
      <w:lvlText w:val="▪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bullet"/>
      <w:lvlText w:val="•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bullet"/>
      <w:lvlText w:val="◦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bullet"/>
      <w:lvlText w:val="▪"/>
      <w:lvlJc w:val="left"/>
      <w:pPr>
        <w:ind w:left="3744" w:hanging="288"/>
      </w:pPr>
      <w:rPr>
        <w:color w:val="3370FF"/>
        <w:sz w:val="22"/>
        <w:szCs w:val="22"/>
      </w:rPr>
    </w:lvl>
  </w:abstractNum>
  <w:num w:numId="1">
    <w:abstractNumId w:val="0"/>
    <w:lvlOverride w:ilvl="0">
      <w:startOverride w:val="1"/>
    </w:lvlOverride>
  </w:num>
  <w:num w:numId="2">
    <w:abstractNumId w:val="1"/>
    <w:lvlOverride w:ilvl="0">
      <w:startOverride w:val="1"/>
    </w:lvlOverride>
  </w:num>
  <w:num w:numId="3">
    <w:abstractNumId w:val="0"/>
    <w:lvlOverride w:ilvl="0">
      <w:startOverride w:val="1"/>
    </w:lvlOverride>
  </w:num>
  <w:num w:numId="4">
    <w:abstractNumId w:val="0"/>
    <w:lvlOverride w:ilvl="0">
      <w:startOverride w:val="1"/>
    </w:lvlOverride>
  </w:num>
  <w:num w:numId="5">
    <w:abstractNumId w:val="0"/>
    <w:lvlOverride w:ilvl="0">
      <w:startOverride w:val="1"/>
    </w:lvlOverride>
  </w:num>
  <w:num w:numId="6">
    <w:abstractNumId w:val="0"/>
    <w:lvlOverride w:ilvl="0">
      <w:startOverride w:val="1"/>
    </w:lvlOverride>
  </w:num>
  <w:num w:numId="7">
    <w:abstractNumId w:val="0"/>
    <w:lvlOverride w:ilvl="0">
      <w:startOverride w:val="1"/>
    </w:lvlOverride>
  </w:num>
  <w:num w:numId="8">
    <w:abstractNumId w:val="0"/>
    <w:lvlOverride w:ilvl="0">
      <w:startOverride w:val="1"/>
    </w:lvlOverride>
  </w:num>
  <w:num w:numId="9">
    <w:abstractNumId w:val="0"/>
    <w:lvlOverride w:ilvl="0">
      <w:startOverride w:val="1"/>
    </w:lvlOverride>
  </w:num>
  <w:num w:numId="10">
    <w:abstractNumId w:val="0"/>
    <w:lvlOverride w:ilvl="0">
      <w:startOverride w:val="1"/>
    </w:lvlOverride>
  </w:num>
  <w:num w:numId="11">
    <w:abstractNumId w:val="0"/>
    <w:lvlOverride w:ilvl="0">
      <w:startOverride w:val="1"/>
    </w:lvlOverride>
  </w:num>
  <w:num w:numId="12">
    <w:abstractNumId w:val="0"/>
    <w:lvlOverride w:ilvl="0">
      <w:startOverride w:val="1"/>
    </w:lvlOverride>
  </w:num>
  <w:num w:numId="13">
    <w:abstractNumId w:val="0"/>
    <w:lvlOverride w:ilvl="0">
      <w:startOverride w:val="1"/>
    </w:lvlOverride>
  </w:num>
  <w:num w:numId="14">
    <w:abstractNumId w:val="0"/>
    <w:lvlOverride w:ilvl="0">
      <w:startOverride w:val="1"/>
    </w:lvlOverride>
  </w:num>
  <w:num w:numId="15">
    <w:abstractNumId w:val="0"/>
    <w:lvlOverride w:ilvl="0">
      <w:startOverride w:val="1"/>
    </w:lvlOverride>
  </w:num>
  <w:num w:numId="16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ompat>
    <w:doNotExpandShiftReturn/>
    <w:doNotWrapTextWithPunct/>
    <w:doNotUseEastAsianBreakRules/>
    <w:useFELayout/>
    <w:compatSetting w:name="compatibilityMode" w:uri="http://schemas.microsoft.com/office/word" w:val="15"/>
  </w:compat>
  <w:rsids>
    <w:rsidRoot w:val="00000000"/>
    <w:rsid w:val="206963F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iPriority="99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sz w:val="21"/>
      <w:szCs w:val="22"/>
    </w:rPr>
  </w:style>
  <w:style w:type="paragraph" w:styleId="2">
    <w:name w:val="heading 1"/>
    <w:next w:val="1"/>
    <w:qFormat/>
    <w:uiPriority w:val="0"/>
    <w:pPr>
      <w:spacing w:before="380" w:after="140" w:line="288" w:lineRule="auto"/>
      <w:ind w:left="0"/>
      <w:jc w:val="left"/>
      <w:outlineLvl w:val="0"/>
    </w:pPr>
    <w:rPr>
      <w:rFonts w:ascii="Arial" w:hAnsi="Arial" w:eastAsia="等线" w:cs="Arial"/>
      <w:b/>
      <w:bCs/>
      <w:sz w:val="36"/>
      <w:szCs w:val="36"/>
    </w:rPr>
  </w:style>
  <w:style w:type="paragraph" w:styleId="3">
    <w:name w:val="heading 2"/>
    <w:next w:val="1"/>
    <w:qFormat/>
    <w:uiPriority w:val="0"/>
    <w:pPr>
      <w:spacing w:before="320" w:after="120" w:line="288" w:lineRule="auto"/>
      <w:ind w:left="0"/>
      <w:jc w:val="left"/>
      <w:outlineLvl w:val="1"/>
    </w:pPr>
    <w:rPr>
      <w:rFonts w:ascii="Arial" w:hAnsi="Arial" w:eastAsia="等线" w:cs="Arial"/>
      <w:b/>
      <w:bCs/>
      <w:sz w:val="32"/>
      <w:szCs w:val="32"/>
    </w:rPr>
  </w:style>
  <w:style w:type="paragraph" w:styleId="4">
    <w:name w:val="heading 3"/>
    <w:next w:val="1"/>
    <w:qFormat/>
    <w:uiPriority w:val="0"/>
    <w:pPr>
      <w:spacing w:before="300" w:after="120" w:line="288" w:lineRule="auto"/>
      <w:ind w:left="0"/>
      <w:jc w:val="left"/>
      <w:outlineLvl w:val="2"/>
    </w:pPr>
    <w:rPr>
      <w:rFonts w:ascii="Arial" w:hAnsi="Arial" w:eastAsia="等线" w:cs="Arial"/>
      <w:b/>
      <w:bCs/>
      <w:sz w:val="30"/>
      <w:szCs w:val="30"/>
    </w:rPr>
  </w:style>
  <w:style w:type="paragraph" w:styleId="5">
    <w:name w:val="heading 4"/>
    <w:next w:val="1"/>
    <w:qFormat/>
    <w:uiPriority w:val="0"/>
    <w:pPr>
      <w:spacing w:before="260" w:after="120" w:line="288" w:lineRule="auto"/>
      <w:ind w:left="0"/>
      <w:jc w:val="left"/>
      <w:outlineLvl w:val="3"/>
    </w:pPr>
    <w:rPr>
      <w:rFonts w:ascii="Arial" w:hAnsi="Arial" w:eastAsia="等线" w:cs="Arial"/>
      <w:b/>
      <w:bCs/>
      <w:sz w:val="28"/>
      <w:szCs w:val="28"/>
    </w:rPr>
  </w:style>
  <w:style w:type="paragraph" w:styleId="6">
    <w:name w:val="heading 5"/>
    <w:next w:val="1"/>
    <w:qFormat/>
    <w:uiPriority w:val="0"/>
    <w:pPr>
      <w:spacing w:before="240" w:after="120" w:line="288" w:lineRule="auto"/>
      <w:ind w:left="0"/>
      <w:jc w:val="left"/>
      <w:outlineLvl w:val="4"/>
    </w:pPr>
    <w:rPr>
      <w:rFonts w:ascii="Arial" w:hAnsi="Arial" w:eastAsia="等线" w:cs="Arial"/>
      <w:b/>
      <w:bCs/>
      <w:sz w:val="24"/>
      <w:szCs w:val="24"/>
    </w:rPr>
  </w:style>
  <w:style w:type="paragraph" w:styleId="7">
    <w:name w:val="heading 6"/>
    <w:next w:val="1"/>
    <w:qFormat/>
    <w:uiPriority w:val="0"/>
    <w:pPr>
      <w:spacing w:before="240" w:after="120" w:line="288" w:lineRule="auto"/>
      <w:ind w:left="0"/>
      <w:jc w:val="left"/>
      <w:outlineLvl w:val="5"/>
    </w:pPr>
    <w:rPr>
      <w:rFonts w:ascii="Arial" w:hAnsi="Arial" w:eastAsia="等线" w:cs="Arial"/>
      <w:b/>
      <w:bCs/>
      <w:sz w:val="24"/>
      <w:szCs w:val="24"/>
    </w:rPr>
  </w:style>
  <w:style w:type="character" w:default="1" w:styleId="11">
    <w:name w:val="Default Paragraph Font"/>
    <w:semiHidden/>
    <w:uiPriority w:val="0"/>
  </w:style>
  <w:style w:type="table" w:default="1" w:styleId="10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note text"/>
    <w:link w:val="15"/>
    <w:semiHidden/>
    <w:unhideWhenUsed/>
    <w:qFormat/>
    <w:uiPriority w:val="99"/>
    <w:pPr>
      <w:spacing w:after="0" w:line="240" w:lineRule="auto"/>
    </w:pPr>
    <w:rPr>
      <w:sz w:val="20"/>
      <w:szCs w:val="20"/>
    </w:rPr>
  </w:style>
  <w:style w:type="paragraph" w:styleId="9">
    <w:name w:val="Title"/>
    <w:qFormat/>
    <w:uiPriority w:val="0"/>
    <w:pPr>
      <w:spacing w:before="480" w:after="480" w:line="288" w:lineRule="auto"/>
      <w:ind w:left="0"/>
    </w:pPr>
    <w:rPr>
      <w:rFonts w:ascii="Arial" w:hAnsi="Arial" w:eastAsia="等线" w:cs="Arial"/>
      <w:b/>
      <w:bCs/>
      <w:sz w:val="52"/>
      <w:szCs w:val="52"/>
    </w:rPr>
  </w:style>
  <w:style w:type="character" w:styleId="12">
    <w:name w:val="Hyperlink"/>
    <w:unhideWhenUsed/>
    <w:qFormat/>
    <w:uiPriority w:val="99"/>
    <w:rPr>
      <w:color w:val="0563C1"/>
      <w:u w:val="single"/>
    </w:rPr>
  </w:style>
  <w:style w:type="character" w:styleId="13">
    <w:name w:val="footnote reference"/>
    <w:semiHidden/>
    <w:unhideWhenUsed/>
    <w:qFormat/>
    <w:uiPriority w:val="99"/>
    <w:rPr>
      <w:vertAlign w:val="superscript"/>
    </w:rPr>
  </w:style>
  <w:style w:type="paragraph" w:styleId="14">
    <w:name w:val="List Paragraph"/>
    <w:qFormat/>
    <w:uiPriority w:val="0"/>
    <w:rPr>
      <w:sz w:val="21"/>
      <w:szCs w:val="22"/>
    </w:rPr>
  </w:style>
  <w:style w:type="character" w:customStyle="1" w:styleId="15">
    <w:name w:val="Footnote Text Char"/>
    <w:link w:val="8"/>
    <w:semiHidden/>
    <w:unhideWhenUsed/>
    <w:qFormat/>
    <w:uiPriority w:val="99"/>
    <w:rPr>
      <w:sz w:val="20"/>
      <w:szCs w:val="20"/>
    </w:rPr>
  </w:style>
  <w:style w:type="paragraph" w:customStyle="1" w:styleId="16">
    <w:name w:val="_Style 13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  <w:style w:type="paragraph" w:customStyle="1" w:styleId="17">
    <w:name w:val="_Style 14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color w:val="8F959E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6</Pages>
  <Words>3181</Words>
  <Characters>3593</Characters>
  <TotalTime>3</TotalTime>
  <ScaleCrop>false</ScaleCrop>
  <LinksUpToDate>false</LinksUpToDate>
  <CharactersWithSpaces>3738</CharactersWithSpaces>
  <Application>WPS Office_12.1.0.22529_F1E327BC-269C-435d-A152-05C5408002CA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2025-10-14T06:12:00Z</dcterms:created>
  <dc:creator>Un-named</dc:creator>
  <cp:lastModifiedBy>张国政</cp:lastModifiedBy>
  <dcterms:modified xsi:type="dcterms:W3CDTF">2025-10-14T06:16:44Z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eyJoZGlkIjoiYjBkZmQwZjcyZWVkNGI4ZmNhZDQ0YmZhYWUxMjIwYjAiLCJ1c2VySWQiOiI5OTI3OTM3NTUifQ==</vt:lpwstr>
  </property>
  <property fmtid="{D5CDD505-2E9C-101B-9397-08002B2CF9AE}" pid="3" name="KSOProductBuildVer">
    <vt:lpwstr>2052-12.1.0.22529</vt:lpwstr>
  </property>
  <property fmtid="{D5CDD505-2E9C-101B-9397-08002B2CF9AE}" pid="4" name="ICV">
    <vt:lpwstr>E4DEC8C25BE4449097A9196B1D2EF17E_12</vt:lpwstr>
  </property>
</Properties>
</file>