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517262917"/>
      <w:bookmarkStart w:id="1" w:name="_Toc453597319"/>
      <w:bookmarkStart w:id="2" w:name="_Toc438987549"/>
      <w:bookmarkStart w:id="3" w:name="OLE_LINK13"/>
      <w:bookmarkStart w:id="4" w:name="OLE_LINK40"/>
      <w:bookmarkStart w:id="5" w:name="_Toc481801204"/>
      <w:bookmarkStart w:id="6" w:name="_Toc415818939"/>
      <w:bookmarkStart w:id="7" w:name="OLE_LINK15"/>
      <w:bookmarkStart w:id="8" w:name="_Toc415142861"/>
      <w:bookmarkStart w:id="9" w:name="_Toc418070112"/>
      <w:bookmarkStart w:id="10" w:name="_Toc415143481"/>
      <w:bookmarkStart w:id="11" w:name="OLE_LINK24"/>
      <w:bookmarkStart w:id="12" w:name="OLE_LINK39"/>
      <w:r>
        <w:rPr>
          <w:rFonts w:hint="eastAsia"/>
          <w:lang w:eastAsia="zh-CN"/>
        </w:rPr>
        <w:t>一、</w:t>
      </w:r>
      <w:r>
        <w:rPr>
          <w:lang w:eastAsia="zh-CN"/>
        </w:rPr>
        <w:t>AI陪伴毛绒玩具</w:t>
      </w:r>
      <w:r>
        <w:rPr>
          <w:rFonts w:hint="eastAsia"/>
          <w:lang w:eastAsia="zh-CN"/>
        </w:rPr>
        <w:t>全球市场总体规模</w:t>
      </w:r>
    </w:p>
    <w:p w14:paraId="2E79BD9F">
      <w:pPr>
        <w:pStyle w:val="145"/>
        <w:rPr>
          <w:lang w:val="en-US" w:eastAsia="zh-CN"/>
        </w:rPr>
      </w:pPr>
      <w:r>
        <w:rPr>
          <w:rFonts w:hint="eastAsia"/>
          <w:lang w:val="en-US" w:eastAsia="zh-CN"/>
        </w:rPr>
        <w:t>AI陪伴毛绒玩具是一种融合了人工智能技术与传统毛绒外形的交互式玩具。它通过内置的AI芯片、麦克风、扬声器，并借助语音识别、自然语言处理（NLP）、情感计算等技术，能与用户进行智能对话、讲故事、回答问题，并能提供情感陪伴、教育娱乐和个性化互动，旨在缓解孤独感，满足情感需求。</w:t>
      </w:r>
    </w:p>
    <w:p w14:paraId="0F56F11C">
      <w:pPr>
        <w:pStyle w:val="145"/>
        <w:rPr>
          <w:lang w:val="en-US" w:eastAsia="zh-CN"/>
        </w:rPr>
      </w:pPr>
      <w:r>
        <w:rPr>
          <w:rFonts w:hint="eastAsia"/>
          <w:lang w:val="en-US" w:eastAsia="zh-CN"/>
        </w:rPr>
        <w:t>根据QYResearch最新调研报告显示，到2024年，全球AI陪伴毛绒玩具产能约460万件，产量约220万件，全球市场平均价格约为每件47美元，行业毛利率约66%。市场规模方面，预计2031年全球AI陪伴毛绒玩具市场规模将达到</w:t>
      </w:r>
      <w:r>
        <w:rPr>
          <w:lang w:val="en-US" w:eastAsia="zh-CN"/>
        </w:rPr>
        <w:t>842</w:t>
      </w:r>
      <w:r>
        <w:rPr>
          <w:rFonts w:hint="eastAsia"/>
          <w:lang w:val="en-US" w:eastAsia="zh-CN"/>
        </w:rPr>
        <w:t>百万美元，未来几年年复合增长率CAGR为35.00%。</w:t>
      </w:r>
    </w:p>
    <w:p w14:paraId="3F6C2722">
      <w:pPr>
        <w:pStyle w:val="148"/>
        <w:rPr>
          <w:lang w:eastAsia="zh-CN"/>
        </w:rPr>
      </w:pPr>
      <w:r>
        <w:rPr>
          <w:lang w:eastAsia="zh-CN"/>
        </w:rPr>
        <w:t>AI陪伴毛绒玩具</w:t>
      </w:r>
      <w:r>
        <w:rPr>
          <w:rFonts w:hint="eastAsia"/>
          <w:lang w:eastAsia="zh-CN"/>
        </w:rPr>
        <w:t>，全球市场收入增长率</w:t>
      </w:r>
    </w:p>
    <w:p w14:paraId="33261207">
      <w:pPr>
        <w:pStyle w:val="145"/>
        <w:rPr>
          <w:lang w:val="en-US" w:eastAsia="zh-CN"/>
        </w:rPr>
      </w:pPr>
      <w:r>
        <w:drawing>
          <wp:inline distT="0" distB="0" distL="0" distR="0">
            <wp:extent cx="6188710" cy="2936875"/>
            <wp:effectExtent l="0" t="0" r="2540" b="0"/>
            <wp:docPr id="19045761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AF1FD2D">
      <w:pPr>
        <w:pStyle w:val="143"/>
        <w:rPr>
          <w:lang w:eastAsia="zh-CN"/>
        </w:rPr>
      </w:pPr>
      <w:r>
        <w:rPr>
          <w:rFonts w:hint="eastAsia"/>
          <w:lang w:eastAsia="zh-CN"/>
        </w:rPr>
        <w:t>如上图表/数据，摘自QYResearch最新报告“全球</w:t>
      </w:r>
      <w:r>
        <w:rPr>
          <w:lang w:eastAsia="zh-CN"/>
        </w:rPr>
        <w:t>AI陪伴毛绒玩具</w:t>
      </w:r>
      <w:r>
        <w:rPr>
          <w:rFonts w:hint="eastAsia"/>
          <w:lang w:eastAsia="zh-CN"/>
        </w:rPr>
        <w:t>市场研究报告2025-2031</w:t>
      </w:r>
      <w:r>
        <w:rPr>
          <w:lang w:eastAsia="zh-CN"/>
        </w:rPr>
        <w:t>.</w:t>
      </w:r>
      <w:r>
        <w:rPr>
          <w:lang w:eastAsia="zh-CN"/>
        </w:rPr>
        <w:br w:type="textWrapping"/>
      </w:r>
    </w:p>
    <w:p w14:paraId="77054685">
      <w:pPr>
        <w:pStyle w:val="143"/>
        <w:rPr>
          <w:lang w:eastAsia="zh-CN"/>
        </w:rPr>
      </w:pPr>
      <w:r>
        <w:rPr>
          <w:rFonts w:hint="eastAsia"/>
          <w:lang w:eastAsia="zh-CN"/>
        </w:rPr>
        <w:t>在市场调查报告方面，QYResearch研究团队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p>
    <w:p w14:paraId="685D9037">
      <w:pPr>
        <w:widowControl/>
        <w:topLinePunct w:val="0"/>
        <w:spacing w:after="0"/>
        <w:jc w:val="left"/>
      </w:pPr>
      <w:r>
        <w:br w:type="page"/>
      </w:r>
    </w:p>
    <w:p w14:paraId="3794CD1E">
      <w:pPr>
        <w:widowControl/>
        <w:topLinePunct w:val="0"/>
        <w:spacing w:after="0"/>
        <w:jc w:val="left"/>
      </w:pPr>
      <w:r>
        <w:rPr>
          <w:rFonts w:hint="eastAsia" w:cs="Calibri"/>
          <w:b/>
          <w:color w:val="FF8200"/>
          <w:spacing w:val="-3"/>
          <w:sz w:val="24"/>
          <w:szCs w:val="40"/>
        </w:rPr>
        <w:t>二、AI陪伴毛绒玩具主要厂商介绍</w:t>
      </w:r>
    </w:p>
    <w:tbl>
      <w:tblPr>
        <w:tblStyle w:val="205"/>
        <w:tblW w:w="0" w:type="auto"/>
        <w:tblInd w:w="0" w:type="dxa"/>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1838"/>
        <w:gridCol w:w="7898"/>
      </w:tblGrid>
      <w:tr w14:paraId="7A324150">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03483D37">
            <w:pPr>
              <w:spacing w:line="360" w:lineRule="auto"/>
              <w:rPr>
                <w:b/>
                <w:bCs/>
                <w:color w:val="FFFFFF" w:themeColor="background1"/>
                <w14:textFill>
                  <w14:solidFill>
                    <w14:schemeClr w14:val="bg1"/>
                  </w14:solidFill>
                </w14:textFill>
              </w:rPr>
            </w:pPr>
            <w:bookmarkStart w:id="13" w:name="_Hlk209964639"/>
            <w:r>
              <w:rPr>
                <w:rFonts w:hint="eastAsia"/>
                <w:b/>
                <w:bCs/>
                <w:color w:val="FFFFFF" w:themeColor="background1"/>
                <w14:textFill>
                  <w14:solidFill>
                    <w14:schemeClr w14:val="bg1"/>
                  </w14:solidFill>
                </w14:textFill>
              </w:rPr>
              <w:t>序号</w:t>
            </w:r>
          </w:p>
        </w:tc>
        <w:tc>
          <w:tcPr>
            <w:tcW w:w="7898"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056120C1">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企业</w:t>
            </w:r>
          </w:p>
        </w:tc>
      </w:tr>
      <w:tr w14:paraId="74D38146">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7500898B">
            <w:pPr>
              <w:spacing w:line="360" w:lineRule="auto"/>
              <w:rPr>
                <w:b/>
                <w:bCs/>
              </w:rPr>
            </w:pPr>
            <w:r>
              <w:rPr>
                <w:rFonts w:hint="eastAsia"/>
                <w:b/>
                <w:bCs/>
              </w:rPr>
              <w:t>1</w:t>
            </w:r>
          </w:p>
        </w:tc>
        <w:tc>
          <w:tcPr>
            <w:tcW w:w="7898" w:type="dxa"/>
            <w:shd w:val="clear" w:color="auto" w:fill="FBE4D5" w:themeFill="accent2" w:themeFillTint="33"/>
            <w:noWrap/>
          </w:tcPr>
          <w:p w14:paraId="30A9955B">
            <w:pPr>
              <w:spacing w:line="360" w:lineRule="auto"/>
              <w:rPr>
                <w:szCs w:val="22"/>
              </w:rPr>
            </w:pPr>
            <w:r>
              <w:t>Casio</w:t>
            </w:r>
          </w:p>
        </w:tc>
      </w:tr>
      <w:tr w14:paraId="725D53B5">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711343A0">
            <w:pPr>
              <w:spacing w:line="360" w:lineRule="auto"/>
              <w:rPr>
                <w:b/>
                <w:bCs/>
              </w:rPr>
            </w:pPr>
            <w:r>
              <w:rPr>
                <w:rFonts w:hint="eastAsia"/>
                <w:b/>
                <w:bCs/>
              </w:rPr>
              <w:t>2</w:t>
            </w:r>
          </w:p>
        </w:tc>
        <w:tc>
          <w:tcPr>
            <w:tcW w:w="7898" w:type="dxa"/>
            <w:noWrap/>
          </w:tcPr>
          <w:p w14:paraId="0B16523B">
            <w:pPr>
              <w:spacing w:line="360" w:lineRule="auto"/>
              <w:rPr>
                <w:szCs w:val="22"/>
              </w:rPr>
            </w:pPr>
            <w:r>
              <w:t>Hasbro</w:t>
            </w:r>
          </w:p>
        </w:tc>
      </w:tr>
      <w:tr w14:paraId="2FA1A8A7">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01614264">
            <w:pPr>
              <w:spacing w:line="360" w:lineRule="auto"/>
              <w:rPr>
                <w:b/>
                <w:bCs/>
              </w:rPr>
            </w:pPr>
            <w:r>
              <w:rPr>
                <w:rFonts w:hint="eastAsia"/>
                <w:b/>
                <w:bCs/>
              </w:rPr>
              <w:t>3</w:t>
            </w:r>
          </w:p>
        </w:tc>
        <w:tc>
          <w:tcPr>
            <w:tcW w:w="7898" w:type="dxa"/>
            <w:shd w:val="clear" w:color="auto" w:fill="FBE4D5" w:themeFill="accent2" w:themeFillTint="33"/>
            <w:noWrap/>
          </w:tcPr>
          <w:p w14:paraId="0B3C9EB8">
            <w:pPr>
              <w:spacing w:line="360" w:lineRule="auto"/>
              <w:rPr>
                <w:szCs w:val="22"/>
              </w:rPr>
            </w:pPr>
            <w:r>
              <w:t>GROOVE X Inc</w:t>
            </w:r>
          </w:p>
        </w:tc>
      </w:tr>
      <w:tr w14:paraId="19699976">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281E84D4">
            <w:pPr>
              <w:spacing w:line="360" w:lineRule="auto"/>
              <w:rPr>
                <w:b/>
                <w:bCs/>
              </w:rPr>
            </w:pPr>
            <w:r>
              <w:rPr>
                <w:rFonts w:hint="eastAsia"/>
                <w:b/>
                <w:bCs/>
              </w:rPr>
              <w:t>4</w:t>
            </w:r>
          </w:p>
        </w:tc>
        <w:tc>
          <w:tcPr>
            <w:tcW w:w="7898" w:type="dxa"/>
            <w:noWrap/>
          </w:tcPr>
          <w:p w14:paraId="35DA793B">
            <w:pPr>
              <w:spacing w:line="360" w:lineRule="auto"/>
              <w:rPr>
                <w:szCs w:val="22"/>
              </w:rPr>
            </w:pPr>
            <w:r>
              <w:t>Curio</w:t>
            </w:r>
          </w:p>
        </w:tc>
      </w:tr>
      <w:tr w14:paraId="6AFDB72A">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7EDC984B">
            <w:pPr>
              <w:spacing w:line="360" w:lineRule="auto"/>
              <w:rPr>
                <w:b/>
                <w:bCs/>
              </w:rPr>
            </w:pPr>
            <w:r>
              <w:rPr>
                <w:rFonts w:hint="eastAsia"/>
                <w:b/>
                <w:bCs/>
              </w:rPr>
              <w:t>5</w:t>
            </w:r>
          </w:p>
        </w:tc>
        <w:tc>
          <w:tcPr>
            <w:tcW w:w="7898" w:type="dxa"/>
            <w:shd w:val="clear" w:color="auto" w:fill="FBE4D5" w:themeFill="accent2" w:themeFillTint="33"/>
            <w:noWrap/>
          </w:tcPr>
          <w:p w14:paraId="6FCB72BD">
            <w:pPr>
              <w:spacing w:line="360" w:lineRule="auto"/>
              <w:rPr>
                <w:szCs w:val="22"/>
              </w:rPr>
            </w:pPr>
            <w:r>
              <w:rPr>
                <w:rFonts w:hint="eastAsia"/>
              </w:rPr>
              <w:t>字节跳动</w:t>
            </w:r>
          </w:p>
        </w:tc>
      </w:tr>
      <w:tr w14:paraId="47BD6449">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22770E45">
            <w:pPr>
              <w:spacing w:line="360" w:lineRule="auto"/>
              <w:rPr>
                <w:b/>
                <w:bCs/>
              </w:rPr>
            </w:pPr>
            <w:r>
              <w:rPr>
                <w:rFonts w:hint="eastAsia"/>
                <w:b/>
                <w:bCs/>
              </w:rPr>
              <w:t>6</w:t>
            </w:r>
          </w:p>
        </w:tc>
        <w:tc>
          <w:tcPr>
            <w:tcW w:w="7898" w:type="dxa"/>
            <w:noWrap/>
          </w:tcPr>
          <w:p w14:paraId="4C6B342C">
            <w:pPr>
              <w:spacing w:line="360" w:lineRule="auto"/>
              <w:rPr>
                <w:szCs w:val="22"/>
              </w:rPr>
            </w:pPr>
            <w:r>
              <w:t>FoloToy</w:t>
            </w:r>
          </w:p>
        </w:tc>
      </w:tr>
      <w:tr w14:paraId="502DCE49">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455E37DB">
            <w:pPr>
              <w:spacing w:line="360" w:lineRule="auto"/>
              <w:rPr>
                <w:b/>
                <w:bCs/>
              </w:rPr>
            </w:pPr>
            <w:r>
              <w:rPr>
                <w:rFonts w:hint="eastAsia"/>
                <w:b/>
                <w:bCs/>
              </w:rPr>
              <w:t>7</w:t>
            </w:r>
          </w:p>
        </w:tc>
        <w:tc>
          <w:tcPr>
            <w:tcW w:w="7898" w:type="dxa"/>
            <w:shd w:val="clear" w:color="auto" w:fill="FBE4D5" w:themeFill="accent2" w:themeFillTint="33"/>
            <w:noWrap/>
          </w:tcPr>
          <w:p w14:paraId="4A91A32D">
            <w:pPr>
              <w:spacing w:line="360" w:lineRule="auto"/>
              <w:rPr>
                <w:szCs w:val="22"/>
              </w:rPr>
            </w:pPr>
            <w:r>
              <w:rPr>
                <w:rFonts w:hint="eastAsia"/>
              </w:rPr>
              <w:t>珞博智能</w:t>
            </w:r>
          </w:p>
        </w:tc>
      </w:tr>
      <w:tr w14:paraId="59C0E190">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0DEC051C">
            <w:pPr>
              <w:spacing w:line="360" w:lineRule="auto"/>
              <w:rPr>
                <w:b/>
                <w:bCs/>
              </w:rPr>
            </w:pPr>
            <w:r>
              <w:rPr>
                <w:rFonts w:hint="eastAsia"/>
                <w:b/>
                <w:bCs/>
              </w:rPr>
              <w:t>8</w:t>
            </w:r>
          </w:p>
        </w:tc>
        <w:tc>
          <w:tcPr>
            <w:tcW w:w="7898" w:type="dxa"/>
            <w:noWrap/>
          </w:tcPr>
          <w:p w14:paraId="328CAC75">
            <w:pPr>
              <w:spacing w:line="360" w:lineRule="auto"/>
              <w:rPr>
                <w:szCs w:val="22"/>
              </w:rPr>
            </w:pPr>
            <w:r>
              <w:rPr>
                <w:rFonts w:hint="eastAsia"/>
              </w:rPr>
              <w:t>奥飞娱乐</w:t>
            </w:r>
          </w:p>
        </w:tc>
      </w:tr>
      <w:tr w14:paraId="4D6BC471">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1E89769B">
            <w:pPr>
              <w:spacing w:line="360" w:lineRule="auto"/>
              <w:rPr>
                <w:b/>
                <w:bCs/>
              </w:rPr>
            </w:pPr>
            <w:r>
              <w:rPr>
                <w:rFonts w:hint="eastAsia"/>
                <w:b/>
                <w:bCs/>
              </w:rPr>
              <w:t>9</w:t>
            </w:r>
          </w:p>
        </w:tc>
        <w:tc>
          <w:tcPr>
            <w:tcW w:w="7898" w:type="dxa"/>
            <w:shd w:val="clear" w:color="auto" w:fill="FBE4D5" w:themeFill="accent2" w:themeFillTint="33"/>
            <w:noWrap/>
          </w:tcPr>
          <w:p w14:paraId="1A97D24E">
            <w:pPr>
              <w:spacing w:line="360" w:lineRule="auto"/>
              <w:rPr>
                <w:szCs w:val="22"/>
              </w:rPr>
            </w:pPr>
            <w:r>
              <w:rPr>
                <w:rFonts w:hint="eastAsia"/>
              </w:rPr>
              <w:t>跃然创新</w:t>
            </w:r>
          </w:p>
        </w:tc>
      </w:tr>
      <w:tr w14:paraId="79B94C0D">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5F88BDE6">
            <w:pPr>
              <w:spacing w:line="360" w:lineRule="auto"/>
              <w:rPr>
                <w:b/>
                <w:bCs/>
              </w:rPr>
            </w:pPr>
            <w:r>
              <w:rPr>
                <w:rFonts w:hint="eastAsia"/>
                <w:b/>
                <w:bCs/>
              </w:rPr>
              <w:t>10</w:t>
            </w:r>
          </w:p>
        </w:tc>
        <w:tc>
          <w:tcPr>
            <w:tcW w:w="7898" w:type="dxa"/>
            <w:noWrap/>
          </w:tcPr>
          <w:p w14:paraId="1BE9F719">
            <w:pPr>
              <w:spacing w:line="360" w:lineRule="auto"/>
              <w:rPr>
                <w:szCs w:val="22"/>
              </w:rPr>
            </w:pPr>
            <w:r>
              <w:rPr>
                <w:rFonts w:hint="eastAsia"/>
              </w:rPr>
              <w:t>上海会形会色网络科技有限公司</w:t>
            </w:r>
          </w:p>
        </w:tc>
      </w:tr>
      <w:tr w14:paraId="6F52D583">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619639CA">
            <w:pPr>
              <w:spacing w:line="360" w:lineRule="auto"/>
              <w:rPr>
                <w:b/>
                <w:bCs/>
              </w:rPr>
            </w:pPr>
            <w:r>
              <w:rPr>
                <w:rFonts w:hint="eastAsia"/>
                <w:b/>
                <w:bCs/>
              </w:rPr>
              <w:t>11</w:t>
            </w:r>
          </w:p>
        </w:tc>
        <w:tc>
          <w:tcPr>
            <w:tcW w:w="7898" w:type="dxa"/>
            <w:shd w:val="clear" w:color="auto" w:fill="FBE4D5" w:themeFill="accent2" w:themeFillTint="33"/>
            <w:noWrap/>
          </w:tcPr>
          <w:p w14:paraId="5B33DA84">
            <w:pPr>
              <w:spacing w:line="360" w:lineRule="auto"/>
              <w:rPr>
                <w:szCs w:val="22"/>
              </w:rPr>
            </w:pPr>
            <w:r>
              <w:rPr>
                <w:rFonts w:hint="eastAsia"/>
              </w:rPr>
              <w:t>涂鸦智能</w:t>
            </w:r>
          </w:p>
        </w:tc>
      </w:tr>
      <w:tr w14:paraId="239DCF11">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1E1F155B">
            <w:pPr>
              <w:spacing w:line="360" w:lineRule="auto"/>
              <w:rPr>
                <w:b/>
                <w:bCs/>
              </w:rPr>
            </w:pPr>
            <w:r>
              <w:rPr>
                <w:rFonts w:hint="eastAsia"/>
                <w:b/>
                <w:bCs/>
              </w:rPr>
              <w:t>12</w:t>
            </w:r>
          </w:p>
        </w:tc>
        <w:tc>
          <w:tcPr>
            <w:tcW w:w="7898" w:type="dxa"/>
            <w:noWrap/>
          </w:tcPr>
          <w:p w14:paraId="29830D31">
            <w:pPr>
              <w:spacing w:line="360" w:lineRule="auto"/>
              <w:rPr>
                <w:szCs w:val="22"/>
              </w:rPr>
            </w:pPr>
            <w:r>
              <w:rPr>
                <w:rFonts w:hint="eastAsia"/>
              </w:rPr>
              <w:t>河北雄安千吉科技</w:t>
            </w:r>
          </w:p>
        </w:tc>
      </w:tr>
      <w:tr w14:paraId="499CDB27">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3F0BA643">
            <w:pPr>
              <w:spacing w:line="360" w:lineRule="auto"/>
              <w:rPr>
                <w:b/>
                <w:bCs/>
              </w:rPr>
            </w:pPr>
            <w:r>
              <w:rPr>
                <w:rFonts w:hint="eastAsia"/>
                <w:b/>
                <w:bCs/>
              </w:rPr>
              <w:t>13</w:t>
            </w:r>
          </w:p>
        </w:tc>
        <w:tc>
          <w:tcPr>
            <w:tcW w:w="7898" w:type="dxa"/>
            <w:shd w:val="clear" w:color="auto" w:fill="FBE4D5" w:themeFill="accent2" w:themeFillTint="33"/>
            <w:noWrap/>
          </w:tcPr>
          <w:p w14:paraId="3CF622AB">
            <w:pPr>
              <w:spacing w:line="360" w:lineRule="auto"/>
              <w:rPr>
                <w:szCs w:val="22"/>
              </w:rPr>
            </w:pPr>
            <w:r>
              <w:rPr>
                <w:rFonts w:hint="eastAsia"/>
              </w:rPr>
              <w:t>中国电信</w:t>
            </w:r>
          </w:p>
        </w:tc>
      </w:tr>
    </w:tbl>
    <w:p w14:paraId="3F7E00D8">
      <w:pPr>
        <w:pStyle w:val="145"/>
        <w:rPr>
          <w:i/>
          <w:sz w:val="16"/>
          <w:lang w:eastAsia="zh-CN"/>
        </w:rPr>
      </w:pPr>
      <w:r>
        <w:rPr>
          <w:rFonts w:hint="eastAsia"/>
          <w:i/>
          <w:sz w:val="16"/>
          <w:lang w:eastAsia="zh-CN"/>
        </w:rPr>
        <w:t>来源：第三方资料、QYResearch研究团队</w:t>
      </w:r>
      <w:bookmarkEnd w:id="13"/>
    </w:p>
    <w:p w14:paraId="6BD79642">
      <w:pPr>
        <w:widowControl/>
        <w:topLinePunct w:val="0"/>
        <w:spacing w:after="0"/>
        <w:jc w:val="left"/>
      </w:pPr>
      <w:r>
        <w:rPr>
          <w:rFonts w:hint="eastAsia"/>
        </w:rPr>
        <w:t>根据QYResearch头部企业研究中心调研，全球范围内AI陪伴毛绒玩具生产商主要包括</w:t>
      </w:r>
      <w:r>
        <w:t>Casio</w:t>
      </w:r>
      <w:r>
        <w:rPr>
          <w:rFonts w:hint="eastAsia"/>
        </w:rPr>
        <w:t>、</w:t>
      </w:r>
      <w:r>
        <w:t>Hasbro</w:t>
      </w:r>
      <w:r>
        <w:rPr>
          <w:rFonts w:hint="eastAsia"/>
        </w:rPr>
        <w:t>、</w:t>
      </w:r>
      <w:r>
        <w:t>GROOVE X Inc</w:t>
      </w:r>
      <w:r>
        <w:rPr>
          <w:rFonts w:hint="eastAsia"/>
        </w:rPr>
        <w:t>、</w:t>
      </w:r>
      <w:r>
        <w:t>Curio</w:t>
      </w:r>
      <w:r>
        <w:rPr>
          <w:rFonts w:hint="eastAsia"/>
        </w:rPr>
        <w:t>等。2024年，全球前五大厂商占有大约36%的市场份额。</w:t>
      </w:r>
    </w:p>
    <w:p w14:paraId="13ECA253">
      <w:pPr>
        <w:widowControl/>
        <w:topLinePunct w:val="0"/>
        <w:spacing w:after="0"/>
        <w:jc w:val="left"/>
      </w:pPr>
      <w:bookmarkStart w:id="14" w:name="_Hlk210146254"/>
    </w:p>
    <w:p w14:paraId="200FF6D9">
      <w:pPr>
        <w:widowControl/>
        <w:topLinePunct w:val="0"/>
        <w:spacing w:after="0"/>
        <w:jc w:val="left"/>
        <w:rPr>
          <w:rFonts w:cs="Calibri"/>
          <w:b/>
          <w:color w:val="FF8200"/>
          <w:spacing w:val="-3"/>
          <w:sz w:val="24"/>
          <w:szCs w:val="40"/>
        </w:rPr>
      </w:pPr>
      <w:bookmarkStart w:id="15" w:name="_Hlk210146123"/>
      <w:r>
        <w:rPr>
          <w:rFonts w:hint="eastAsia" w:cs="Calibri"/>
          <w:b/>
          <w:color w:val="FF8200"/>
          <w:spacing w:val="-3"/>
          <w:sz w:val="24"/>
          <w:szCs w:val="40"/>
        </w:rPr>
        <w:t>重点企业介绍</w:t>
      </w:r>
    </w:p>
    <w:p w14:paraId="4554130C">
      <w:pPr>
        <w:widowControl/>
        <w:topLinePunct w:val="0"/>
        <w:spacing w:after="0"/>
        <w:jc w:val="left"/>
        <w:rPr>
          <w:rFonts w:hint="eastAsia" w:cs="Calibri"/>
          <w:b/>
          <w:color w:val="FF8200"/>
          <w:spacing w:val="-3"/>
          <w:sz w:val="24"/>
          <w:szCs w:val="40"/>
        </w:rPr>
      </w:pPr>
    </w:p>
    <w:p w14:paraId="6DBF920D">
      <w:pPr>
        <w:widowControl/>
        <w:topLinePunct w:val="0"/>
        <w:spacing w:after="0"/>
        <w:jc w:val="left"/>
        <w:rPr>
          <w:rFonts w:hint="eastAsia" w:cs="Calibri"/>
          <w:b/>
          <w:color w:val="FF8200"/>
          <w:spacing w:val="-3"/>
          <w:sz w:val="24"/>
          <w:szCs w:val="40"/>
        </w:rPr>
      </w:pPr>
      <w:bookmarkStart w:id="16" w:name="_Hlk210146309"/>
      <w:r>
        <w:rPr>
          <w:rFonts w:hint="eastAsia" w:cs="Calibri"/>
          <w:b/>
          <w:color w:val="FF8200"/>
          <w:spacing w:val="-3"/>
          <w:sz w:val="24"/>
          <w:szCs w:val="40"/>
        </w:rPr>
        <w:t>企业1</w:t>
      </w:r>
    </w:p>
    <w:bookmarkEnd w:id="14"/>
    <w:bookmarkEnd w:id="15"/>
    <w:bookmarkEnd w:id="16"/>
    <w:p w14:paraId="3A082C4D">
      <w:pPr>
        <w:widowControl/>
        <w:topLinePunct w:val="0"/>
        <w:spacing w:after="0"/>
        <w:jc w:val="center"/>
        <w:rPr>
          <w:rFonts w:cs="Calibri"/>
          <w:b/>
          <w:color w:val="FF8200"/>
          <w:spacing w:val="-3"/>
          <w:sz w:val="24"/>
          <w:szCs w:val="40"/>
        </w:rPr>
      </w:pPr>
      <w:r>
        <w:rPr>
          <w:i/>
          <w:color w:val="0D0D0D" w:themeColor="text1" w:themeTint="F2"/>
          <w:kern w:val="0"/>
          <w:sz w:val="16"/>
          <w:szCs w:val="22"/>
          <w:lang w:val="en-IN"/>
          <w14:textFill>
            <w14:solidFill>
              <w14:schemeClr w14:val="tx1">
                <w14:lumMod w14:val="95000"/>
                <w14:lumOff w14:val="5000"/>
              </w14:schemeClr>
            </w14:solidFill>
          </w14:textFill>
        </w:rPr>
        <w:drawing>
          <wp:inline distT="0" distB="0" distL="0" distR="0">
            <wp:extent cx="1314450" cy="476250"/>
            <wp:effectExtent l="0" t="0" r="0" b="0"/>
            <wp:docPr id="92290975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909757"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314450" cy="476250"/>
                    </a:xfrm>
                    <a:prstGeom prst="rect">
                      <a:avLst/>
                    </a:prstGeom>
                    <a:noFill/>
                    <a:ln>
                      <a:noFill/>
                    </a:ln>
                  </pic:spPr>
                </pic:pic>
              </a:graphicData>
            </a:graphic>
          </wp:inline>
        </w:drawing>
      </w:r>
    </w:p>
    <w:tbl>
      <w:tblPr>
        <w:tblStyle w:val="205"/>
        <w:tblW w:w="0" w:type="auto"/>
        <w:jc w:val="cente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2830"/>
        <w:gridCol w:w="6906"/>
      </w:tblGrid>
      <w:tr w14:paraId="6C8CB001">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5660ABD6">
            <w:pPr>
              <w:spacing w:line="360" w:lineRule="auto"/>
              <w:rPr>
                <w:b/>
                <w:bCs/>
                <w:color w:val="FFFFFF" w:themeColor="background1"/>
                <w14:textFill>
                  <w14:solidFill>
                    <w14:schemeClr w14:val="bg1"/>
                  </w14:solidFill>
                </w14:textFill>
              </w:rPr>
            </w:pPr>
            <w:bookmarkStart w:id="17" w:name="_Hlk210146139"/>
            <w:r>
              <w:rPr>
                <w:b/>
                <w:bCs/>
                <w:color w:val="0D0D0D" w:themeColor="text1" w:themeTint="F2"/>
                <w:kern w:val="0"/>
                <w:szCs w:val="22"/>
                <w:lang w:val="en-IN"/>
                <w14:textFill>
                  <w14:solidFill>
                    <w14:schemeClr w14:val="tx1">
                      <w14:lumMod w14:val="95000"/>
                      <w14:lumOff w14:val="5000"/>
                    </w14:schemeClr>
                  </w14:solidFill>
                </w14:textFill>
              </w:rPr>
              <w:t>Casio</w:t>
            </w:r>
          </w:p>
        </w:tc>
        <w:tc>
          <w:tcPr>
            <w:tcW w:w="6906"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55AD185E">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描述</w:t>
            </w:r>
          </w:p>
        </w:tc>
      </w:tr>
      <w:tr w14:paraId="0A999130">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shd w:val="clear" w:color="auto" w:fill="FBE4D5" w:themeFill="accent2" w:themeFillTint="33"/>
            <w:noWrap/>
            <w:vAlign w:val="center"/>
          </w:tcPr>
          <w:p w14:paraId="6C48F8BE">
            <w:pPr>
              <w:spacing w:line="360" w:lineRule="auto"/>
              <w:rPr>
                <w:b/>
                <w:bCs/>
              </w:rPr>
            </w:pPr>
            <w:r>
              <w:rPr>
                <w:rFonts w:hint="eastAsia"/>
                <w:b/>
                <w:bCs/>
              </w:rPr>
              <w:t>企业介绍</w:t>
            </w:r>
          </w:p>
        </w:tc>
        <w:tc>
          <w:tcPr>
            <w:tcW w:w="6906" w:type="dxa"/>
            <w:shd w:val="clear" w:color="auto" w:fill="FBE4D5" w:themeFill="accent2" w:themeFillTint="33"/>
            <w:noWrap/>
          </w:tcPr>
          <w:p w14:paraId="467B7DE5">
            <w:pPr>
              <w:widowControl/>
              <w:topLinePunct w:val="0"/>
              <w:spacing w:after="0"/>
              <w:jc w:val="left"/>
            </w:pPr>
            <w:r>
              <w:rPr>
                <w:rFonts w:hint="eastAsia"/>
              </w:rPr>
              <w:t>卡西欧（Casio）是一家源自日本的全球知名消费电子产品制造商，自成立以来，始终以“创造与贡献”为核心理念，通过创新科技丰富大众生活。公司早期以电子计算器闻名，随后在数码手表、电子乐器、数码相机以及办公电子设备等领域取得了卓越成就，以其出色的耐用性、前沿的技术和独特的功能设计享誉世界。</w:t>
            </w:r>
          </w:p>
        </w:tc>
      </w:tr>
      <w:tr w14:paraId="6C17780D">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noWrap/>
            <w:vAlign w:val="center"/>
          </w:tcPr>
          <w:p w14:paraId="40638D7E">
            <w:pPr>
              <w:spacing w:line="360" w:lineRule="auto"/>
              <w:rPr>
                <w:b/>
                <w:bCs/>
              </w:rPr>
            </w:pPr>
            <w:r>
              <w:rPr>
                <w:rFonts w:hint="eastAsia"/>
                <w:b/>
                <w:bCs/>
              </w:rPr>
              <w:t>产品介绍</w:t>
            </w:r>
          </w:p>
        </w:tc>
        <w:tc>
          <w:tcPr>
            <w:tcW w:w="6906" w:type="dxa"/>
            <w:noWrap/>
          </w:tcPr>
          <w:p w14:paraId="4637F74F">
            <w:pPr>
              <w:widowControl/>
              <w:topLinePunct w:val="0"/>
              <w:spacing w:after="0"/>
              <w:jc w:val="left"/>
            </w:pPr>
            <w:r>
              <w:rPr>
                <w:rFonts w:hint="eastAsia"/>
              </w:rPr>
              <w:t>卡西欧推出的AI陪伴毛绒玩具，是其将多年积累的电子技术与人工智能相结合，切入情感科技领域的一次创新尝试。这类产品通常将先进的语音识别、传感器和AI响应系统嵌入到精致的毛绒外壳中，能够与用户进行智能对话、感知触摸并做出反应，旨在为儿童乃至成年人提供一种温暖、互动的情感陪伴体验，代表了卡西欧在传统硬件产品之外，对智能化、情感化消费电子产品的积极探索。</w:t>
            </w:r>
          </w:p>
        </w:tc>
      </w:tr>
    </w:tbl>
    <w:p w14:paraId="6EF0FF19">
      <w:pPr>
        <w:pStyle w:val="145"/>
        <w:rPr>
          <w:i/>
          <w:sz w:val="16"/>
          <w:lang w:eastAsia="zh-CN"/>
        </w:rPr>
      </w:pPr>
      <w:r>
        <w:rPr>
          <w:rFonts w:hint="eastAsia"/>
          <w:i/>
          <w:sz w:val="16"/>
          <w:lang w:eastAsia="zh-CN"/>
        </w:rPr>
        <w:t>来源：第三方资料、QYResearch研究团队</w:t>
      </w:r>
    </w:p>
    <w:bookmarkEnd w:id="17"/>
    <w:p w14:paraId="7E6EA445">
      <w:pPr>
        <w:widowControl/>
        <w:topLinePunct w:val="0"/>
        <w:spacing w:after="0"/>
        <w:jc w:val="left"/>
        <w:rPr>
          <w:rFonts w:cs="Calibri"/>
          <w:b/>
          <w:color w:val="FF8200"/>
          <w:spacing w:val="-3"/>
          <w:sz w:val="24"/>
          <w:szCs w:val="40"/>
        </w:rPr>
      </w:pPr>
      <w:r>
        <w:rPr>
          <w:rFonts w:hint="eastAsia" w:cs="Calibri"/>
          <w:b/>
          <w:color w:val="FF8200"/>
          <w:spacing w:val="-3"/>
          <w:sz w:val="24"/>
          <w:szCs w:val="40"/>
        </w:rPr>
        <w:t>企业2</w:t>
      </w:r>
    </w:p>
    <w:p w14:paraId="01CEFF5A">
      <w:pPr>
        <w:widowControl/>
        <w:topLinePunct w:val="0"/>
        <w:spacing w:after="0"/>
        <w:jc w:val="center"/>
      </w:pPr>
      <w:r>
        <w:drawing>
          <wp:inline distT="0" distB="0" distL="0" distR="0">
            <wp:extent cx="2028825" cy="1209675"/>
            <wp:effectExtent l="0" t="0" r="9525" b="9525"/>
            <wp:docPr id="140672789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727896"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028825" cy="1209675"/>
                    </a:xfrm>
                    <a:prstGeom prst="rect">
                      <a:avLst/>
                    </a:prstGeom>
                    <a:noFill/>
                    <a:ln>
                      <a:noFill/>
                    </a:ln>
                  </pic:spPr>
                </pic:pic>
              </a:graphicData>
            </a:graphic>
          </wp:inline>
        </w:drawing>
      </w:r>
    </w:p>
    <w:tbl>
      <w:tblPr>
        <w:tblStyle w:val="205"/>
        <w:tblW w:w="0" w:type="auto"/>
        <w:jc w:val="cente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2830"/>
        <w:gridCol w:w="6906"/>
      </w:tblGrid>
      <w:tr w14:paraId="24D1BFF6">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1CD6EE13">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Hasbro</w:t>
            </w:r>
          </w:p>
        </w:tc>
        <w:tc>
          <w:tcPr>
            <w:tcW w:w="6906"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7C780E83">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描述</w:t>
            </w:r>
          </w:p>
        </w:tc>
      </w:tr>
      <w:tr w14:paraId="4DAB90AA">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shd w:val="clear" w:color="auto" w:fill="FBE4D5" w:themeFill="accent2" w:themeFillTint="33"/>
            <w:noWrap/>
            <w:vAlign w:val="center"/>
          </w:tcPr>
          <w:p w14:paraId="1DBE0A53">
            <w:pPr>
              <w:spacing w:line="360" w:lineRule="auto"/>
              <w:rPr>
                <w:b/>
                <w:bCs/>
              </w:rPr>
            </w:pPr>
            <w:r>
              <w:rPr>
                <w:rFonts w:hint="eastAsia"/>
                <w:b/>
                <w:bCs/>
              </w:rPr>
              <w:t>企业介绍</w:t>
            </w:r>
          </w:p>
        </w:tc>
        <w:tc>
          <w:tcPr>
            <w:tcW w:w="6906" w:type="dxa"/>
            <w:shd w:val="clear" w:color="auto" w:fill="FBE4D5" w:themeFill="accent2" w:themeFillTint="33"/>
            <w:noWrap/>
          </w:tcPr>
          <w:p w14:paraId="1E9ED058">
            <w:pPr>
              <w:widowControl/>
              <w:topLinePunct w:val="0"/>
              <w:spacing w:after="0"/>
              <w:jc w:val="left"/>
            </w:pPr>
            <w:r>
              <w:rPr>
                <w:rFonts w:hint="eastAsia"/>
              </w:rPr>
              <w:t>Hasbro（孩之宝）是一家美国知名跨国玩具和娱乐公司。公司最初从销售铅笔盒等文具业务起家，后通过《大富翁》游戏成功进军玩具业，逐步发展为世界级的玩具与娱乐品牌。孩之宝拥有众多标志性品牌，除了广为人知的变形金刚、NERF、培乐多、小马宝莉，还包括《万智牌》、《龙与地下城》 等。其使命是通过讲故事和游戏的乐趣，娱乐并连接一代又一代的全球粉丝。</w:t>
            </w:r>
          </w:p>
        </w:tc>
      </w:tr>
      <w:tr w14:paraId="51EFBBE8">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noWrap/>
            <w:vAlign w:val="center"/>
          </w:tcPr>
          <w:p w14:paraId="49D9BBA6">
            <w:pPr>
              <w:spacing w:line="360" w:lineRule="auto"/>
              <w:rPr>
                <w:b/>
                <w:bCs/>
              </w:rPr>
            </w:pPr>
            <w:r>
              <w:rPr>
                <w:rFonts w:hint="eastAsia"/>
                <w:b/>
                <w:bCs/>
              </w:rPr>
              <w:t>产品介绍</w:t>
            </w:r>
          </w:p>
        </w:tc>
        <w:tc>
          <w:tcPr>
            <w:tcW w:w="6906" w:type="dxa"/>
            <w:noWrap/>
          </w:tcPr>
          <w:p w14:paraId="4100ACBE">
            <w:pPr>
              <w:widowControl/>
              <w:topLinePunct w:val="0"/>
              <w:spacing w:after="0"/>
              <w:jc w:val="left"/>
            </w:pPr>
            <w:r>
              <w:rPr>
                <w:rFonts w:hint="eastAsia"/>
              </w:rPr>
              <w:t>孩之宝推出了一系列新的“伴侣宠物”，定位于可能感到孤独的老年人。目前，孩之宝有猫咪毛绒玩具，售价99.99美元，可在孩之宝网站 Joy for All和亚马逊上购买。</w:t>
            </w:r>
          </w:p>
        </w:tc>
      </w:tr>
    </w:tbl>
    <w:p w14:paraId="52A51445">
      <w:pPr>
        <w:pStyle w:val="145"/>
        <w:rPr>
          <w:i/>
          <w:sz w:val="16"/>
          <w:lang w:eastAsia="zh-CN"/>
        </w:rPr>
      </w:pPr>
      <w:r>
        <w:rPr>
          <w:rFonts w:hint="eastAsia"/>
          <w:i/>
          <w:sz w:val="16"/>
          <w:lang w:eastAsia="zh-CN"/>
        </w:rPr>
        <w:t>来源：第三方资料、QYResearch研究团队</w:t>
      </w:r>
    </w:p>
    <w:p w14:paraId="4C1D5872">
      <w:pPr>
        <w:widowControl/>
        <w:topLinePunct w:val="0"/>
        <w:spacing w:after="0"/>
        <w:jc w:val="left"/>
        <w:rPr>
          <w:rFonts w:cs="Calibri"/>
          <w:b/>
          <w:color w:val="FF8200"/>
          <w:spacing w:val="-3"/>
          <w:sz w:val="24"/>
          <w:szCs w:val="40"/>
        </w:rPr>
      </w:pPr>
      <w:r>
        <w:rPr>
          <w:rFonts w:hint="eastAsia" w:cs="Calibri"/>
          <w:b/>
          <w:color w:val="FF8200"/>
          <w:spacing w:val="-3"/>
          <w:sz w:val="24"/>
          <w:szCs w:val="40"/>
        </w:rPr>
        <w:t>企业3</w:t>
      </w:r>
    </w:p>
    <w:p w14:paraId="61F1A767">
      <w:pPr>
        <w:widowControl/>
        <w:topLinePunct w:val="0"/>
        <w:spacing w:after="0"/>
        <w:jc w:val="center"/>
        <w:rPr>
          <w:i/>
          <w:color w:val="0D0D0D" w:themeColor="text1" w:themeTint="F2"/>
          <w:kern w:val="0"/>
          <w:sz w:val="16"/>
          <w:szCs w:val="22"/>
          <w:lang w:val="en-IN"/>
          <w14:textFill>
            <w14:solidFill>
              <w14:schemeClr w14:val="tx1">
                <w14:lumMod w14:val="95000"/>
                <w14:lumOff w14:val="5000"/>
              </w14:schemeClr>
            </w14:solidFill>
          </w14:textFill>
        </w:rPr>
      </w:pPr>
      <w:r>
        <w:rPr>
          <w:i/>
          <w:color w:val="0D0D0D" w:themeColor="text1" w:themeTint="F2"/>
          <w:kern w:val="0"/>
          <w:sz w:val="16"/>
          <w:szCs w:val="22"/>
          <w:lang w:val="en-IN"/>
          <w14:textFill>
            <w14:solidFill>
              <w14:schemeClr w14:val="tx1">
                <w14:lumMod w14:val="95000"/>
                <w14:lumOff w14:val="5000"/>
              </w14:schemeClr>
            </w14:solidFill>
          </w14:textFill>
        </w:rPr>
        <w:drawing>
          <wp:inline distT="0" distB="0" distL="0" distR="0">
            <wp:extent cx="1162050" cy="438150"/>
            <wp:effectExtent l="0" t="0" r="0" b="0"/>
            <wp:docPr id="122923384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33843" name="图片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162050" cy="438150"/>
                    </a:xfrm>
                    <a:prstGeom prst="rect">
                      <a:avLst/>
                    </a:prstGeom>
                    <a:noFill/>
                    <a:ln>
                      <a:noFill/>
                    </a:ln>
                  </pic:spPr>
                </pic:pic>
              </a:graphicData>
            </a:graphic>
          </wp:inline>
        </w:drawing>
      </w:r>
    </w:p>
    <w:tbl>
      <w:tblPr>
        <w:tblStyle w:val="205"/>
        <w:tblW w:w="0" w:type="auto"/>
        <w:jc w:val="cente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2830"/>
        <w:gridCol w:w="6906"/>
      </w:tblGrid>
      <w:tr w14:paraId="79224FD1">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2AF0076F">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GROOVE X</w:t>
            </w:r>
          </w:p>
        </w:tc>
        <w:tc>
          <w:tcPr>
            <w:tcW w:w="6906"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555A0297">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描述</w:t>
            </w:r>
          </w:p>
        </w:tc>
      </w:tr>
      <w:tr w14:paraId="5DA2BC7A">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shd w:val="clear" w:color="auto" w:fill="FBE4D5" w:themeFill="accent2" w:themeFillTint="33"/>
            <w:noWrap/>
            <w:vAlign w:val="center"/>
          </w:tcPr>
          <w:p w14:paraId="345CF385">
            <w:pPr>
              <w:spacing w:line="360" w:lineRule="auto"/>
              <w:rPr>
                <w:b/>
                <w:bCs/>
              </w:rPr>
            </w:pPr>
            <w:r>
              <w:rPr>
                <w:rFonts w:hint="eastAsia"/>
                <w:b/>
                <w:bCs/>
              </w:rPr>
              <w:t>企业介绍</w:t>
            </w:r>
          </w:p>
        </w:tc>
        <w:tc>
          <w:tcPr>
            <w:tcW w:w="6906" w:type="dxa"/>
            <w:shd w:val="clear" w:color="auto" w:fill="FBE4D5" w:themeFill="accent2" w:themeFillTint="33"/>
            <w:noWrap/>
          </w:tcPr>
          <w:p w14:paraId="6CF7130D">
            <w:pPr>
              <w:widowControl/>
              <w:topLinePunct w:val="0"/>
              <w:spacing w:after="0"/>
              <w:jc w:val="left"/>
            </w:pPr>
            <w:r>
              <w:rPr>
                <w:rFonts w:hint="eastAsia"/>
              </w:rPr>
              <w:t>GROOVE X Inc. 是一家专注于情感陪伴领域的日本机器人公司。公司的核心理念是运用“温暖的技术”来满足现代人的情感需求，其目标是开发能提供陪伴、创造爱与关怀的机器人，而非执行具体任务的工具。</w:t>
            </w:r>
          </w:p>
        </w:tc>
      </w:tr>
      <w:tr w14:paraId="6B595952">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noWrap/>
            <w:vAlign w:val="center"/>
          </w:tcPr>
          <w:p w14:paraId="47257DBF">
            <w:pPr>
              <w:spacing w:line="360" w:lineRule="auto"/>
              <w:rPr>
                <w:b/>
                <w:bCs/>
              </w:rPr>
            </w:pPr>
            <w:r>
              <w:rPr>
                <w:rFonts w:hint="eastAsia"/>
                <w:b/>
                <w:bCs/>
              </w:rPr>
              <w:t>产品介绍</w:t>
            </w:r>
          </w:p>
        </w:tc>
        <w:tc>
          <w:tcPr>
            <w:tcW w:w="6906" w:type="dxa"/>
            <w:noWrap/>
          </w:tcPr>
          <w:p w14:paraId="0455D1AC">
            <w:pPr>
              <w:widowControl/>
              <w:topLinePunct w:val="0"/>
              <w:spacing w:after="0"/>
              <w:jc w:val="left"/>
            </w:pPr>
            <w:r>
              <w:rPr>
                <w:rFonts w:hint="eastAsia"/>
              </w:rPr>
              <w:t>GROOVE X 公司推出的 LOVOT 是其标志性的AI陪伴毛绒玩具。LOVOT这个名字结合了“Love”和“Robot”。它不具备扫地、烹饪等实用功能，其核心设计理念是通过萌系的外形、约37-39°C的体温、能传递情绪的眼神以及对触摸和互动的回应，来寻求主人的关注和爱护，从而提供情感支持和陪伴。LOVOT内置多种传感器和AI算法，能够识别家庭成员并与之互动，旨在成为家庭中一个温暖的存在。</w:t>
            </w:r>
          </w:p>
        </w:tc>
      </w:tr>
    </w:tbl>
    <w:p w14:paraId="5DC49493">
      <w:pPr>
        <w:pStyle w:val="145"/>
        <w:rPr>
          <w:i/>
          <w:sz w:val="16"/>
          <w:lang w:eastAsia="zh-CN"/>
        </w:rPr>
      </w:pPr>
      <w:r>
        <w:rPr>
          <w:rFonts w:hint="eastAsia"/>
          <w:i/>
          <w:sz w:val="16"/>
          <w:lang w:eastAsia="zh-CN"/>
        </w:rPr>
        <w:t>来源：第三方资料、QYResearch研究团队</w:t>
      </w:r>
    </w:p>
    <w:p w14:paraId="453C0747">
      <w:pPr>
        <w:widowControl/>
        <w:topLinePunct w:val="0"/>
        <w:spacing w:after="0"/>
        <w:jc w:val="center"/>
        <w:rPr>
          <w:i/>
          <w:color w:val="0D0D0D" w:themeColor="text1" w:themeTint="F2"/>
          <w:kern w:val="0"/>
          <w:sz w:val="16"/>
          <w:szCs w:val="22"/>
          <w:lang w:val="en-IN"/>
          <w14:textFill>
            <w14:solidFill>
              <w14:schemeClr w14:val="tx1">
                <w14:lumMod w14:val="95000"/>
                <w14:lumOff w14:val="5000"/>
              </w14:schemeClr>
            </w14:solidFill>
          </w14:textFill>
        </w:rPr>
      </w:pPr>
    </w:p>
    <w:p w14:paraId="2E58A97B">
      <w:pPr>
        <w:pStyle w:val="145"/>
        <w:rPr>
          <w:lang w:val="en-US" w:eastAsia="zh-CN"/>
        </w:rPr>
      </w:pPr>
      <w:r>
        <w:rPr>
          <w:rFonts w:hint="eastAsia" w:cs="Calibri"/>
          <w:b/>
          <w:color w:val="FF8200"/>
          <w:spacing w:val="-3"/>
          <w:sz w:val="24"/>
          <w:szCs w:val="40"/>
          <w:lang w:val="en-US" w:eastAsia="zh-CN"/>
        </w:rPr>
        <w:t>三、AI陪伴毛绒玩具产业链分析</w:t>
      </w:r>
    </w:p>
    <w:tbl>
      <w:tblPr>
        <w:tblStyle w:val="205"/>
        <w:tblW w:w="0" w:type="auto"/>
        <w:tblInd w:w="0" w:type="dxa"/>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1770"/>
        <w:gridCol w:w="7966"/>
      </w:tblGrid>
      <w:tr w14:paraId="3E338CFA">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770"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1A6A8CB5">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产业链</w:t>
            </w:r>
          </w:p>
        </w:tc>
        <w:tc>
          <w:tcPr>
            <w:tcW w:w="7966"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04A4B800">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描述</w:t>
            </w:r>
          </w:p>
        </w:tc>
      </w:tr>
      <w:tr w14:paraId="41AA890A">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770" w:type="dxa"/>
            <w:shd w:val="clear" w:color="auto" w:fill="FBE4D5" w:themeFill="accent2" w:themeFillTint="33"/>
            <w:noWrap/>
          </w:tcPr>
          <w:p w14:paraId="5AB41668">
            <w:pPr>
              <w:spacing w:line="360" w:lineRule="auto"/>
              <w:rPr>
                <w:b/>
                <w:bCs/>
              </w:rPr>
            </w:pPr>
            <w:r>
              <w:rPr>
                <w:rFonts w:hint="eastAsia"/>
                <w:b/>
                <w:bCs/>
              </w:rPr>
              <w:t>上游</w:t>
            </w:r>
          </w:p>
        </w:tc>
        <w:tc>
          <w:tcPr>
            <w:tcW w:w="7966" w:type="dxa"/>
            <w:shd w:val="clear" w:color="auto" w:fill="FBE4D5" w:themeFill="accent2" w:themeFillTint="33"/>
            <w:noWrap/>
          </w:tcPr>
          <w:p w14:paraId="49CC677A">
            <w:pPr>
              <w:spacing w:line="360" w:lineRule="auto"/>
              <w:rPr>
                <w:szCs w:val="22"/>
              </w:rPr>
            </w:pPr>
            <w:r>
              <w:rPr>
                <w:rFonts w:hint="eastAsia"/>
                <w:szCs w:val="22"/>
              </w:rPr>
              <w:t>上游专注于为AI毛绒玩具提供“大脑”和“身体”的基础要素。它包括AI芯片、传感器（如触摸、声音）、麦克风、扬声器等核心硬件的研发与制造，以及实现智能交互的语音识别、自然语言处理、情感计算等关键算法和软件的开发。同时，上游也涵盖了毛绒面料、填充棉、塑料五官等传统玩具原材料的供应。</w:t>
            </w:r>
          </w:p>
        </w:tc>
      </w:tr>
      <w:tr w14:paraId="6C2FCA3F">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770" w:type="dxa"/>
            <w:noWrap/>
          </w:tcPr>
          <w:p w14:paraId="465816AE">
            <w:pPr>
              <w:spacing w:line="360" w:lineRule="auto"/>
              <w:rPr>
                <w:b/>
                <w:bCs/>
              </w:rPr>
            </w:pPr>
            <w:r>
              <w:rPr>
                <w:rFonts w:hint="eastAsia"/>
                <w:b/>
                <w:bCs/>
              </w:rPr>
              <w:t>中游</w:t>
            </w:r>
          </w:p>
        </w:tc>
        <w:tc>
          <w:tcPr>
            <w:tcW w:w="7966" w:type="dxa"/>
            <w:noWrap/>
          </w:tcPr>
          <w:p w14:paraId="3C6AE714">
            <w:pPr>
              <w:spacing w:line="360" w:lineRule="auto"/>
              <w:rPr>
                <w:szCs w:val="22"/>
              </w:rPr>
            </w:pPr>
            <w:r>
              <w:rPr>
                <w:rFonts w:hint="eastAsia"/>
                <w:szCs w:val="22"/>
              </w:rPr>
              <w:t>中游主要进行工业设计与结构设计，巧妙地将电子元件嵌入毛绒外壳；接着是硬件组装、软件烧录和全面的功能测试，确保玩具的智能交互与物理形态完美结合；最后通过生产线完成大规模的产品制造、组装与品控，把概念转化为可供销售的实物。</w:t>
            </w:r>
          </w:p>
        </w:tc>
      </w:tr>
      <w:tr w14:paraId="3903D8C2">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770" w:type="dxa"/>
            <w:shd w:val="clear" w:color="auto" w:fill="FBE4D5" w:themeFill="accent2" w:themeFillTint="33"/>
            <w:noWrap/>
          </w:tcPr>
          <w:p w14:paraId="006EC6E1">
            <w:pPr>
              <w:spacing w:line="360" w:lineRule="auto"/>
              <w:rPr>
                <w:b/>
                <w:bCs/>
              </w:rPr>
            </w:pPr>
            <w:r>
              <w:rPr>
                <w:rFonts w:hint="eastAsia"/>
                <w:b/>
                <w:bCs/>
              </w:rPr>
              <w:t>下游</w:t>
            </w:r>
          </w:p>
        </w:tc>
        <w:tc>
          <w:tcPr>
            <w:tcW w:w="7966" w:type="dxa"/>
            <w:shd w:val="clear" w:color="auto" w:fill="FBE4D5" w:themeFill="accent2" w:themeFillTint="33"/>
            <w:noWrap/>
          </w:tcPr>
          <w:p w14:paraId="34D0601C">
            <w:pPr>
              <w:spacing w:line="360" w:lineRule="auto"/>
              <w:rPr>
                <w:szCs w:val="22"/>
              </w:rPr>
            </w:pPr>
            <w:r>
              <w:rPr>
                <w:rFonts w:hint="eastAsia"/>
                <w:szCs w:val="22"/>
              </w:rPr>
              <w:t>下游的核心任务是将产品送达用户手中并创造持续价值。这一环节包括品牌建立、市场推广和渠道拓展，通过线上线下（如电商平台、实体门店）方式进行销售。同时，下游也负责提供App连接、在线内容更新、故事库订阅等增值服务，以及处理客户支持、售后和用户社区运营，从而构建完整的品牌体验与生态。</w:t>
            </w:r>
          </w:p>
        </w:tc>
      </w:tr>
    </w:tbl>
    <w:p w14:paraId="61ED0104">
      <w:pPr>
        <w:pStyle w:val="145"/>
        <w:rPr>
          <w:i/>
          <w:sz w:val="16"/>
          <w:lang w:eastAsia="zh-CN"/>
        </w:rPr>
      </w:pPr>
      <w:r>
        <w:rPr>
          <w:rFonts w:hint="eastAsia"/>
          <w:i/>
          <w:sz w:val="16"/>
          <w:lang w:eastAsia="zh-CN"/>
        </w:rPr>
        <w:t>来源：第三方资料、QYResearch研究团队</w:t>
      </w:r>
      <w:bookmarkStart w:id="18" w:name="_Hlk208567968"/>
    </w:p>
    <w:bookmarkEnd w:id="18"/>
    <w:p w14:paraId="693F37F2">
      <w:pPr>
        <w:widowControl/>
        <w:topLinePunct w:val="0"/>
        <w:spacing w:after="0"/>
        <w:jc w:val="left"/>
        <w:rPr>
          <w:i/>
          <w:color w:val="0D0D0D" w:themeColor="text1" w:themeTint="F2"/>
          <w:kern w:val="0"/>
          <w:sz w:val="16"/>
          <w:szCs w:val="22"/>
          <w:lang w:val="en-IN"/>
          <w14:textFill>
            <w14:solidFill>
              <w14:schemeClr w14:val="tx1">
                <w14:lumMod w14:val="95000"/>
                <w14:lumOff w14:val="5000"/>
              </w14:schemeClr>
            </w14:solidFill>
          </w14:textFill>
        </w:rPr>
      </w:pPr>
      <w:bookmarkStart w:id="19" w:name="_Hlk208567978"/>
      <w:r>
        <w:rPr>
          <w:rFonts w:hint="eastAsia" w:cs="Calibri"/>
          <w:b/>
          <w:color w:val="FF8200"/>
          <w:spacing w:val="-3"/>
          <w:sz w:val="24"/>
          <w:szCs w:val="40"/>
        </w:rPr>
        <w:t>四、AI陪伴毛绒玩具行业发展趋势、机遇、阻碍因素和行业壁垒</w:t>
      </w:r>
    </w:p>
    <w:p w14:paraId="39521D06">
      <w:pPr>
        <w:pStyle w:val="145"/>
        <w:rPr>
          <w:rStyle w:val="152"/>
          <w:rFonts w:hint="eastAsia"/>
          <w:lang w:eastAsia="zh-CN"/>
        </w:rPr>
      </w:pPr>
      <w:r>
        <w:rPr>
          <w:rStyle w:val="152"/>
          <w:rFonts w:hint="eastAsia"/>
          <w:lang w:eastAsia="zh-CN"/>
        </w:rPr>
        <w:t>发展趋势：</w:t>
      </w:r>
    </w:p>
    <w:p w14:paraId="68D48E47">
      <w:pPr>
        <w:pStyle w:val="145"/>
        <w:rPr>
          <w:color w:val="auto"/>
          <w:kern w:val="2"/>
          <w:lang w:val="en-US" w:eastAsia="zh-CN"/>
        </w:rPr>
      </w:pPr>
      <w:r>
        <w:rPr>
          <w:rFonts w:hint="eastAsia"/>
          <w:color w:val="auto"/>
          <w:kern w:val="2"/>
          <w:lang w:val="en-US" w:eastAsia="zh-CN"/>
        </w:rPr>
        <w:t>1.技术进步。AI陪伴毛绒玩具将突破机械响应模式，通过多模态交互（语音、视觉、触觉）与情感计算技术，实现“具身智能”升级。例如，高端产品已能通过摄像头捕捉用户表情，结合语义分析动态调整互动策略，未来或具备肢体动作能力，从“对话伙伴”升级为“行动助手”。</w:t>
      </w:r>
    </w:p>
    <w:p w14:paraId="7EC20DEE">
      <w:pPr>
        <w:pStyle w:val="145"/>
        <w:rPr>
          <w:color w:val="auto"/>
          <w:kern w:val="2"/>
          <w:lang w:val="en-US" w:eastAsia="zh-CN"/>
        </w:rPr>
      </w:pPr>
      <w:r>
        <w:rPr>
          <w:rFonts w:hint="eastAsia"/>
          <w:color w:val="auto"/>
          <w:kern w:val="2"/>
          <w:lang w:val="en-US" w:eastAsia="zh-CN"/>
        </w:rPr>
        <w:t>2.场景延伸与全龄覆盖。消费群体从儿童扩展至独居青年、空巢老人等全年龄段。儿童市场侧重教育陪伴，成人市场聚焦情感疗愈，老年市场则开发用药提醒、健康监测等功能，形成差异化需求满足。</w:t>
      </w:r>
    </w:p>
    <w:p w14:paraId="7EC01F4B">
      <w:pPr>
        <w:pStyle w:val="145"/>
        <w:rPr>
          <w:rStyle w:val="152"/>
          <w:rFonts w:hint="eastAsia"/>
          <w:lang w:eastAsia="zh-CN"/>
        </w:rPr>
      </w:pPr>
      <w:r>
        <w:rPr>
          <w:rStyle w:val="152"/>
          <w:rFonts w:hint="eastAsia"/>
          <w:lang w:eastAsia="zh-CN"/>
        </w:rPr>
        <w:t>发展机遇：</w:t>
      </w:r>
    </w:p>
    <w:p w14:paraId="25391097">
      <w:pPr>
        <w:pStyle w:val="145"/>
        <w:rPr>
          <w:lang w:eastAsia="zh-CN"/>
        </w:rPr>
      </w:pPr>
      <w:r>
        <w:rPr>
          <w:rFonts w:hint="eastAsia"/>
          <w:lang w:eastAsia="zh-CN"/>
        </w:rPr>
        <w:t>1.千亿市场规模与消费升级。全球AI玩具市场预计2030年达580亿美元，中国作为全球最大生产及消费国，贡献量增量超40%。消费者对玩具的期待从“功能满足”转向“情感联结”，推动高端产品需求增长。</w:t>
      </w:r>
    </w:p>
    <w:p w14:paraId="44F0E4F1">
      <w:pPr>
        <w:pStyle w:val="145"/>
        <w:rPr>
          <w:lang w:eastAsia="zh-CN"/>
        </w:rPr>
      </w:pPr>
      <w:r>
        <w:rPr>
          <w:rFonts w:hint="eastAsia"/>
          <w:lang w:eastAsia="zh-CN"/>
        </w:rPr>
        <w:t>2.技术迭代与成本下降。大模型与硬件厂商协同创新，模块化AI模组降低研发门槛。例如，部分企业通过简化人机交互路径提升自然度，推动产品从高端市场下沉至大众消费领域。</w:t>
      </w:r>
    </w:p>
    <w:p w14:paraId="635024B9">
      <w:pPr>
        <w:pStyle w:val="145"/>
        <w:rPr>
          <w:lang w:eastAsia="zh-CN"/>
        </w:rPr>
      </w:pPr>
      <w:r>
        <w:rPr>
          <w:rStyle w:val="152"/>
          <w:rFonts w:hint="eastAsia"/>
          <w:lang w:eastAsia="zh-CN"/>
        </w:rPr>
        <w:t>阻碍因素：</w:t>
      </w:r>
    </w:p>
    <w:p w14:paraId="36C8D4CB">
      <w:pPr>
        <w:pStyle w:val="145"/>
        <w:rPr>
          <w:lang w:eastAsia="zh-CN"/>
        </w:rPr>
      </w:pPr>
      <w:r>
        <w:rPr>
          <w:rFonts w:hint="eastAsia"/>
          <w:lang w:eastAsia="zh-CN"/>
        </w:rPr>
        <w:t>1.技术瓶颈与用户体验差距。儿童语音识别、复杂环境降噪等技术仍需突破，低龄用户使用满意度有待提升。</w:t>
      </w:r>
    </w:p>
    <w:p w14:paraId="51983CEC">
      <w:pPr>
        <w:pStyle w:val="145"/>
        <w:rPr>
          <w:lang w:eastAsia="zh-CN"/>
        </w:rPr>
      </w:pPr>
      <w:r>
        <w:rPr>
          <w:rFonts w:hint="eastAsia"/>
          <w:lang w:eastAsia="zh-CN"/>
        </w:rPr>
        <w:t>2.同质化竞争与价格战。70%的AI玩具本质是“通用大模型+IP外衣+传感器”的组合创新，深度情感交互功能尚未突破技术瓶颈。高端产品市场渗透率不足5%，低价位段产品又陷入价格战泥潭。</w:t>
      </w:r>
    </w:p>
    <w:p w14:paraId="5645CA27">
      <w:pPr>
        <w:pStyle w:val="145"/>
        <w:rPr>
          <w:lang w:eastAsia="zh-CN"/>
        </w:rPr>
      </w:pPr>
      <w:r>
        <w:rPr>
          <w:rFonts w:hint="eastAsia"/>
          <w:lang w:eastAsia="zh-CN"/>
        </w:rPr>
        <w:t>3.伦理风险与社会争议。情感数据采集与云端存储面临合规性审查，例如需建立用户知情同意机制。部分用户出现现实社交回避倾向，引发心理学界对技术异化的持续讨论。</w:t>
      </w:r>
    </w:p>
    <w:p w14:paraId="37764DB7">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rPr>
          <w:rStyle w:val="152"/>
          <w:rFonts w:hint="eastAsia"/>
          <w:lang w:eastAsia="zh-CN"/>
        </w:rPr>
        <w:t>壁垒：</w:t>
      </w:r>
    </w:p>
    <w:bookmarkEnd w:id="19"/>
    <w:p w14:paraId="402E45BF">
      <w:pPr>
        <w:pStyle w:val="145"/>
        <w:rPr>
          <w:lang w:eastAsia="zh-CN"/>
        </w:rPr>
      </w:pPr>
      <w:r>
        <w:rPr>
          <w:rFonts w:hint="eastAsia"/>
          <w:lang w:eastAsia="zh-CN"/>
        </w:rPr>
        <w:t>1.技术融合门槛壁垒。AI陪伴毛绒玩具需融合AI、机器人、硬件制造等多领域技术，对研发和创新要求高。</w:t>
      </w:r>
    </w:p>
    <w:p w14:paraId="4A3692C4">
      <w:pPr>
        <w:pStyle w:val="145"/>
        <w:rPr>
          <w:lang w:eastAsia="zh-CN"/>
        </w:rPr>
      </w:pPr>
      <w:r>
        <w:rPr>
          <w:rFonts w:hint="eastAsia"/>
          <w:lang w:eastAsia="zh-CN"/>
        </w:rPr>
        <w:t>2.IP资源与内容运营壁垒。经典IP授权或原创IP孵化能力成为核心竞争力。例如，与迪士尼、乐高合作的企业，其产品毛利率较行业平均水平高10-15个百分点。缺乏IP储备的企业难以提升产品溢价。</w:t>
      </w:r>
    </w:p>
    <w:p w14:paraId="74641357">
      <w:pPr>
        <w:pStyle w:val="145"/>
        <w:rPr>
          <w:lang w:eastAsia="zh-CN"/>
        </w:rPr>
      </w:pPr>
      <w:r>
        <w:rPr>
          <w:rFonts w:hint="eastAsia"/>
          <w:lang w:eastAsia="zh-CN"/>
        </w:rPr>
        <w:t>3.供应链与成本控制壁垒。AI玩具依赖成熟供应链，低功耗传感器、伺服电机等核心部件依赖进口，推高成本。</w:t>
      </w:r>
      <w:bookmarkEnd w:id="0"/>
      <w:bookmarkEnd w:id="1"/>
      <w:bookmarkEnd w:id="2"/>
      <w:bookmarkEnd w:id="3"/>
      <w:bookmarkEnd w:id="4"/>
      <w:bookmarkEnd w:id="5"/>
      <w:bookmarkEnd w:id="6"/>
      <w:bookmarkEnd w:id="7"/>
      <w:bookmarkEnd w:id="8"/>
      <w:bookmarkEnd w:id="9"/>
      <w:bookmarkEnd w:id="10"/>
      <w:bookmarkEnd w:id="11"/>
      <w:bookmarkEnd w:id="12"/>
      <w:bookmarkStart w:id="26" w:name="_GoBack"/>
      <w:bookmarkEnd w:id="26"/>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841AD">
    <w:pPr>
      <w:pStyle w:val="21"/>
      <w:jc w:val="center"/>
    </w:pPr>
    <w:bookmarkStart w:id="20" w:name="_Hlk149300687"/>
    <w:bookmarkStart w:id="21" w:name="_Hlk149300690"/>
    <w:bookmarkStart w:id="22" w:name="_Hlk149300689"/>
    <w:bookmarkStart w:id="23" w:name="_Hlk149300688"/>
    <w:bookmarkStart w:id="24" w:name="_Hlk149300691"/>
    <w:bookmarkStart w:id="25" w:name="_Hlk149300692"/>
    <w:r>
      <w:t xml:space="preserve">Copyright © QYResearch | market@qyresearch.com | </w:t>
    </w:r>
    <w:bookmarkEnd w:id="20"/>
    <w:bookmarkEnd w:id="21"/>
    <w:bookmarkEnd w:id="22"/>
    <w:bookmarkEnd w:id="23"/>
    <w:bookmarkEnd w:id="24"/>
    <w:bookmarkEnd w:id="25"/>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5F360">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3B219885">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3B219885">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77C6B204">
    <w:pPr>
      <w:pStyle w:val="22"/>
      <w:pBdr>
        <w:bottom w:val="none" w:color="auto" w:sz="0" w:space="0"/>
      </w:pBdr>
      <w:jc w:val="both"/>
    </w:pPr>
  </w:p>
  <w:p w14:paraId="1CA8454E">
    <w:pPr>
      <w:pStyle w:val="22"/>
      <w:pBdr>
        <w:bottom w:val="none" w:color="auto" w:sz="0" w:space="0"/>
      </w:pBdr>
      <w:jc w:val="both"/>
    </w:pPr>
  </w:p>
  <w:p w14:paraId="7E7792EE">
    <w:pPr>
      <w:pStyle w:val="22"/>
      <w:pBdr>
        <w:bottom w:val="none" w:color="auto" w:sz="0" w:space="0"/>
      </w:pBdr>
      <w:jc w:val="both"/>
    </w:pPr>
  </w:p>
  <w:p w14:paraId="3D55DE52">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641" w:hanging="357"/>
      </w:pPr>
      <w:rPr>
        <w:rFonts w:hint="eastAsia"/>
      </w:rPr>
    </w:lvl>
    <w:lvl w:ilvl="1" w:tentative="0">
      <w:start w:val="1"/>
      <w:numFmt w:val="lowerLetter"/>
      <w:lvlText w:val="%2)"/>
      <w:lvlJc w:val="left"/>
      <w:pPr>
        <w:ind w:left="1124"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964" w:hanging="420"/>
      </w:pPr>
      <w:rPr>
        <w:rFonts w:hint="eastAsia"/>
      </w:rPr>
    </w:lvl>
    <w:lvl w:ilvl="4" w:tentative="0">
      <w:start w:val="1"/>
      <w:numFmt w:val="lowerLetter"/>
      <w:lvlText w:val="%5)"/>
      <w:lvlJc w:val="left"/>
      <w:pPr>
        <w:ind w:left="2384" w:hanging="420"/>
      </w:pPr>
      <w:rPr>
        <w:rFonts w:hint="eastAsia"/>
      </w:rPr>
    </w:lvl>
    <w:lvl w:ilvl="5" w:tentative="0">
      <w:start w:val="1"/>
      <w:numFmt w:val="lowerRoman"/>
      <w:lvlText w:val="%6."/>
      <w:lvlJc w:val="right"/>
      <w:pPr>
        <w:ind w:left="2804" w:hanging="420"/>
      </w:pPr>
      <w:rPr>
        <w:rFonts w:hint="eastAsia"/>
      </w:rPr>
    </w:lvl>
    <w:lvl w:ilvl="6" w:tentative="0">
      <w:start w:val="1"/>
      <w:numFmt w:val="decimal"/>
      <w:lvlText w:val="%7."/>
      <w:lvlJc w:val="left"/>
      <w:pPr>
        <w:ind w:left="3224" w:hanging="420"/>
      </w:pPr>
      <w:rPr>
        <w:rFonts w:hint="eastAsia"/>
      </w:rPr>
    </w:lvl>
    <w:lvl w:ilvl="7" w:tentative="0">
      <w:start w:val="1"/>
      <w:numFmt w:val="lowerLetter"/>
      <w:lvlText w:val="%8)"/>
      <w:lvlJc w:val="left"/>
      <w:pPr>
        <w:ind w:left="3644" w:hanging="420"/>
      </w:pPr>
      <w:rPr>
        <w:rFonts w:hint="eastAsia"/>
      </w:rPr>
    </w:lvl>
    <w:lvl w:ilvl="8" w:tentative="0">
      <w:start w:val="1"/>
      <w:numFmt w:val="lowerRoman"/>
      <w:lvlText w:val="%9."/>
      <w:lvlJc w:val="right"/>
      <w:pPr>
        <w:ind w:left="4064"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917"/>
    <w:rsid w:val="00001B99"/>
    <w:rsid w:val="00001CCF"/>
    <w:rsid w:val="00001F34"/>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C17"/>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3E"/>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685"/>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715"/>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B1A"/>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6E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27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885"/>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C99"/>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18A"/>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228"/>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053"/>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49"/>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695"/>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9A7"/>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228"/>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C7C"/>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63"/>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159"/>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52A"/>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8D1"/>
    <w:rsid w:val="0037795A"/>
    <w:rsid w:val="00377F73"/>
    <w:rsid w:val="00377FB0"/>
    <w:rsid w:val="00380466"/>
    <w:rsid w:val="003806BB"/>
    <w:rsid w:val="003807C1"/>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2"/>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1F"/>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1F72"/>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89"/>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5D"/>
    <w:rsid w:val="004A7C63"/>
    <w:rsid w:val="004B0160"/>
    <w:rsid w:val="004B02BC"/>
    <w:rsid w:val="004B03BD"/>
    <w:rsid w:val="004B03CE"/>
    <w:rsid w:val="004B099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B6D"/>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749"/>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A4A"/>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5E9"/>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182"/>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C5C"/>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1C"/>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A6D"/>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5BA0"/>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3FC"/>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0F1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AD7"/>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559"/>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1B"/>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1B2"/>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755"/>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2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A84"/>
    <w:rsid w:val="006F3C5E"/>
    <w:rsid w:val="006F3EBA"/>
    <w:rsid w:val="006F4C67"/>
    <w:rsid w:val="006F4CF1"/>
    <w:rsid w:val="006F558F"/>
    <w:rsid w:val="006F6422"/>
    <w:rsid w:val="006F644F"/>
    <w:rsid w:val="006F663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7B"/>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49"/>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5C5"/>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CFF"/>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BC4"/>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083"/>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05C"/>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0EA"/>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6C1"/>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863"/>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D9E"/>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0C2"/>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4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B2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73"/>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B7"/>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3"/>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67C9B"/>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2B6"/>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4B2"/>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5DF4"/>
    <w:rsid w:val="009F625A"/>
    <w:rsid w:val="009F64E1"/>
    <w:rsid w:val="009F6784"/>
    <w:rsid w:val="009F68E4"/>
    <w:rsid w:val="009F69BE"/>
    <w:rsid w:val="009F6B17"/>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116"/>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68"/>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0C"/>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0A5D"/>
    <w:rsid w:val="00AB1011"/>
    <w:rsid w:val="00AB112E"/>
    <w:rsid w:val="00AB1A41"/>
    <w:rsid w:val="00AB2046"/>
    <w:rsid w:val="00AB2792"/>
    <w:rsid w:val="00AB2927"/>
    <w:rsid w:val="00AB29AB"/>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198F"/>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308"/>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0C68"/>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3FE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4B2"/>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0DCE"/>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790"/>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0ECD"/>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E61"/>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C6A"/>
    <w:rsid w:val="00B96ECB"/>
    <w:rsid w:val="00B97202"/>
    <w:rsid w:val="00B97992"/>
    <w:rsid w:val="00B979E0"/>
    <w:rsid w:val="00B97B59"/>
    <w:rsid w:val="00B97F0B"/>
    <w:rsid w:val="00BA01B4"/>
    <w:rsid w:val="00BA02A4"/>
    <w:rsid w:val="00BA0549"/>
    <w:rsid w:val="00BA0715"/>
    <w:rsid w:val="00BA0827"/>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A8A"/>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954"/>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6B3C"/>
    <w:rsid w:val="00BE71DB"/>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57C"/>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D39"/>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5B1"/>
    <w:rsid w:val="00C8579F"/>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DD9"/>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006"/>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3FB"/>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78C"/>
    <w:rsid w:val="00D72B19"/>
    <w:rsid w:val="00D72C15"/>
    <w:rsid w:val="00D72E5D"/>
    <w:rsid w:val="00D73054"/>
    <w:rsid w:val="00D73092"/>
    <w:rsid w:val="00D733A6"/>
    <w:rsid w:val="00D7394A"/>
    <w:rsid w:val="00D73ED0"/>
    <w:rsid w:val="00D74208"/>
    <w:rsid w:val="00D74A43"/>
    <w:rsid w:val="00D74A8D"/>
    <w:rsid w:val="00D74ECF"/>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76D"/>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682"/>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6F1"/>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A32"/>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3770"/>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4667"/>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5E3"/>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2BF4"/>
    <w:rsid w:val="00EB307E"/>
    <w:rsid w:val="00EB3188"/>
    <w:rsid w:val="00EB3963"/>
    <w:rsid w:val="00EB3D9C"/>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87C"/>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2E"/>
    <w:rsid w:val="00F052E0"/>
    <w:rsid w:val="00F0545C"/>
    <w:rsid w:val="00F05576"/>
    <w:rsid w:val="00F05A7A"/>
    <w:rsid w:val="00F05AB9"/>
    <w:rsid w:val="00F05BE3"/>
    <w:rsid w:val="00F0602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3E5"/>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714"/>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6E76"/>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A63"/>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778"/>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C3578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未处理的提及6"/>
    <w:basedOn w:val="67"/>
    <w:semiHidden/>
    <w:unhideWhenUsed/>
    <w:qFormat/>
    <w:uiPriority w:val="99"/>
    <w:rPr>
      <w:color w:val="605E5C"/>
      <w:shd w:val="clear" w:color="auto" w:fill="E1DFDD"/>
    </w:rPr>
  </w:style>
  <w:style w:type="table" w:customStyle="1" w:styleId="205">
    <w:name w:val="Grid Table 4 Accent 2"/>
    <w:basedOn w:val="34"/>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insideV w:val="nil"/>
        </w:tcBorders>
        <w:shd w:val="clear" w:color="auto" w:fill="ED7D31" w:themeFill="accent2"/>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206">
    <w:name w:val="List Table 1 Light Accent 4"/>
    <w:basedOn w:val="34"/>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 w:type="character" w:customStyle="1" w:styleId="207">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123\Desktop\&#35266;&#28857;\&#27169;&#26495;\&#35266;&#28857;&#25968;&#25454;&#22270;&#34920;&#27169;&#26495;-&#27169;&#26495;%20202312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474.379738296252</c:v>
                </c:pt>
                <c:pt idx="1">
                  <c:v>909.675375286944</c:v>
                </c:pt>
                <c:pt idx="2">
                  <c:v>1181.47423674467</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extLst>
      <c:ext uri="{0b15fc19-7d7d-44ad-8c2d-2c3a37ce22c3}">
        <chartProps xmlns="https://web.wps.cn/et/2018/main" chartId="{eb146ef0-0808-4b6e-92ed-30087471e490}"/>
      </c:ext>
    </c:extLst>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0.55801</cdr:x>
      <cdr:y>0.27732</cdr:y>
    </cdr:from>
    <cdr:to>
      <cdr:x>0.71152</cdr:x>
      <cdr:y>0.57787</cdr:y>
    </cdr:to>
    <cdr:grpSp>
      <cdr:nvGrpSpPr>
        <cdr:cNvPr id="2" name="组合 1"/>
        <cdr:cNvGrpSpPr/>
      </cdr:nvGrpSpPr>
      <cdr:grpSpPr xmlns:a="http://schemas.openxmlformats.org/drawingml/2006/main">
        <a:xfrm rot="439955">
          <a:off x="3453362" y="814454"/>
          <a:ext cx="950029" cy="882678"/>
          <a:chOff x="2859058" y="1061399"/>
          <a:chExt cx="759437" cy="821673"/>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59058" y="1061399"/>
            <a:ext cx="759437" cy="821673"/>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649119">
            <a:off x="2885602" y="1427757"/>
            <a:ext cx="619687" cy="185800"/>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35%</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0.23328</cdr:x>
      <cdr:y>0.47975</cdr:y>
    </cdr:from>
    <cdr:to>
      <cdr:x>0.43042</cdr:x>
      <cdr:y>0.743</cdr:y>
    </cdr:to>
    <cdr:grpSp>
      <cdr:nvGrpSpPr>
        <cdr:cNvPr id="5" name="组合 4"/>
        <cdr:cNvGrpSpPr/>
      </cdr:nvGrpSpPr>
      <cdr:grpSpPr xmlns:a="http://schemas.openxmlformats.org/drawingml/2006/main">
        <a:xfrm rot="1783323">
          <a:off x="1443702" y="1408966"/>
          <a:ext cx="1220042" cy="773132"/>
          <a:chOff x="3065378" y="1615187"/>
          <a:chExt cx="1010935" cy="814928"/>
        </a:xfrm>
      </cdr:grpSpPr>
      <cdr:cxnSp>
        <cdr:nvCxnSpPr>
          <cdr:cNvPr id="6" name="直接箭头连接符 5"/>
          <cdr:cNvCxnSpPr/>
        </cdr:nvCxnSpPr>
        <cdr:spPr xmlns:a="http://schemas.openxmlformats.org/drawingml/2006/main">
          <a:xfrm xmlns:a="http://schemas.openxmlformats.org/drawingml/2006/main" rot="19816677" flipV="1">
            <a:off x="3065378" y="1822248"/>
            <a:ext cx="1010935" cy="464804"/>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584799">
            <a:off x="3135135" y="1935053"/>
            <a:ext cx="814928" cy="1751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31%</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A9133F-CC68-4C73-97AC-72D16D7D81F8}">
  <ds:schemaRefs/>
</ds:datastoreItem>
</file>

<file path=docProps/app.xml><?xml version="1.0" encoding="utf-8"?>
<Properties xmlns="http://schemas.openxmlformats.org/officeDocument/2006/extended-properties" xmlns:vt="http://schemas.openxmlformats.org/officeDocument/2006/docPropsVTypes">
  <Template>Normal</Template>
  <Pages>5</Pages>
  <Words>1515</Words>
  <Characters>1755</Characters>
  <Lines>25</Lines>
  <Paragraphs>7</Paragraphs>
  <TotalTime>878</TotalTime>
  <ScaleCrop>false</ScaleCrop>
  <LinksUpToDate>false</LinksUpToDate>
  <CharactersWithSpaces>1771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2025-10-17T08:15:57Z</dcterms:modified>
  <cp:revision>858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2052-12.1.0.22529</vt:lpwstr>
  </property>
  <property fmtid="{D5CDD505-2E9C-101B-9397-08002B2CF9AE}" pid="4" name="ICV">
    <vt:lpwstr>C71F23B2EAB0477AA79F9D336CD45B71_12</vt:lpwstr>
  </property>
</Properties>
</file>