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BC4A487">
      <w:pPr>
        <w:pStyle w:val="145"/>
        <w:rPr>
          <w:lang w:eastAsia="zh-CN"/>
        </w:rPr>
      </w:pPr>
      <w:bookmarkStart w:id="0" w:name="OLE_LINK13"/>
      <w:bookmarkStart w:id="1" w:name="OLE_LINK24"/>
      <w:bookmarkStart w:id="2" w:name="_Toc481801204"/>
      <w:bookmarkStart w:id="3" w:name="OLE_LINK39"/>
      <w:bookmarkStart w:id="4" w:name="OLE_LINK15"/>
      <w:bookmarkStart w:id="5" w:name="_Toc415818939"/>
      <w:bookmarkStart w:id="6" w:name="_Toc418070112"/>
      <w:bookmarkStart w:id="7" w:name="_Toc438987549"/>
      <w:bookmarkStart w:id="8" w:name="_Toc415143481"/>
      <w:bookmarkStart w:id="9" w:name="_Toc415142861"/>
      <w:bookmarkStart w:id="10" w:name="OLE_LINK40"/>
      <w:bookmarkStart w:id="11" w:name="_Toc517262917"/>
      <w:bookmarkStart w:id="12" w:name="_Toc453597319"/>
      <w:r>
        <w:rPr>
          <w:rFonts w:hint="eastAsia"/>
          <w:lang w:eastAsia="zh-CN"/>
        </w:rPr>
        <w:t>根据QYResearch最新调研报告显示，预计2</w:t>
      </w:r>
      <w:r>
        <w:rPr>
          <w:lang w:eastAsia="zh-CN"/>
        </w:rPr>
        <w:t>031</w:t>
      </w:r>
      <w:r>
        <w:rPr>
          <w:rFonts w:hint="eastAsia"/>
          <w:lang w:eastAsia="zh-CN"/>
        </w:rPr>
        <w:t>年全球</w:t>
      </w:r>
      <w:r>
        <w:rPr>
          <w:lang w:eastAsia="zh-CN"/>
        </w:rPr>
        <w:t>工业紧凑型台秤</w:t>
      </w:r>
      <w:r>
        <w:rPr>
          <w:rFonts w:hint="eastAsia"/>
          <w:lang w:eastAsia="zh-CN"/>
        </w:rPr>
        <w:t>市场规模将达到</w:t>
      </w:r>
      <w:r>
        <w:rPr>
          <w:lang w:eastAsia="zh-CN"/>
        </w:rPr>
        <w:t>1.06</w:t>
      </w:r>
      <w:r>
        <w:rPr>
          <w:rFonts w:hint="eastAsia"/>
          <w:lang w:eastAsia="zh-CN"/>
        </w:rPr>
        <w:t>亿美元，未来几年年复合增长率CAGR为</w:t>
      </w:r>
      <w:r>
        <w:rPr>
          <w:lang w:eastAsia="zh-CN"/>
        </w:rPr>
        <w:t>5.6</w:t>
      </w:r>
      <w:r>
        <w:rPr>
          <w:rFonts w:hint="eastAsia"/>
          <w:lang w:eastAsia="zh-CN"/>
        </w:rPr>
        <w:t>%。</w:t>
      </w:r>
    </w:p>
    <w:p w14:paraId="435E3011">
      <w:pPr>
        <w:pStyle w:val="145"/>
        <w:rPr>
          <w:lang w:eastAsia="zh-CN"/>
        </w:rPr>
      </w:pPr>
      <w:r>
        <w:rPr>
          <w:rFonts w:hint="eastAsia"/>
          <w:lang w:eastAsia="zh-CN"/>
        </w:rPr>
        <w:t>紧凑型秤通常易于安装，其称重平台、显示和操作元件都集成在一个外壳中。工业紧凑型台秤是一种精密称重设备，专为在空间有限但要求高精度的工业环境中的工作台或桌面上使用而设计。这类秤通常用于制造业、实验室、食品加工、制药业和物流业，用于称量中小型物品。</w:t>
      </w:r>
    </w:p>
    <w:p w14:paraId="720E31E2">
      <w:pPr>
        <w:pStyle w:val="148"/>
        <w:rPr>
          <w:lang w:eastAsia="zh-CN"/>
        </w:rPr>
      </w:pPr>
      <w:r>
        <w:rPr>
          <w:rFonts w:hint="eastAsia"/>
          <w:lang w:eastAsia="zh-CN"/>
        </w:rPr>
        <w:t>全球</w:t>
      </w:r>
      <w:r>
        <w:rPr>
          <w:lang w:eastAsia="zh-CN"/>
        </w:rPr>
        <w:t>工业紧凑型台秤</w:t>
      </w:r>
      <w:r>
        <w:rPr>
          <w:rFonts w:hint="eastAsia"/>
          <w:lang w:eastAsia="zh-CN"/>
        </w:rPr>
        <w:t>市场前</w:t>
      </w:r>
      <w:r>
        <w:rPr>
          <w:lang w:eastAsia="zh-CN"/>
        </w:rPr>
        <w:t>16</w:t>
      </w:r>
      <w:r>
        <w:rPr>
          <w:rFonts w:hint="eastAsia"/>
          <w:lang w:eastAsia="zh-CN"/>
        </w:rPr>
        <w:t>强生产商排名及市场占有率（基于2</w:t>
      </w:r>
      <w:r>
        <w:rPr>
          <w:lang w:eastAsia="zh-CN"/>
        </w:rPr>
        <w:t>023</w:t>
      </w:r>
      <w:r>
        <w:rPr>
          <w:rFonts w:hint="eastAsia"/>
          <w:lang w:eastAsia="zh-CN"/>
        </w:rPr>
        <w:t>年调研数据；目前最新数据以本公司最新调研数据为准）</w:t>
      </w:r>
    </w:p>
    <w:p w14:paraId="04A43543">
      <w:pPr>
        <w:pStyle w:val="143"/>
        <w:rPr>
          <w:lang w:eastAsia="zh-CN"/>
        </w:rPr>
      </w:pPr>
      <w:r>
        <w:drawing>
          <wp:inline distT="0" distB="0" distL="0" distR="0">
            <wp:extent cx="6188710" cy="5988050"/>
            <wp:effectExtent l="0" t="0" r="2540" b="0"/>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r>
        <w:rPr>
          <w:rFonts w:hint="eastAsia"/>
          <w:lang w:eastAsia="zh-CN"/>
        </w:rPr>
        <w:t>来源：QYResearch研究中心。行业处于不断变动之中，最新数据请联系QYResearch咨询。</w:t>
      </w:r>
    </w:p>
    <w:p w14:paraId="2A9BFC0B">
      <w:pPr>
        <w:pStyle w:val="145"/>
        <w:rPr>
          <w:lang w:eastAsia="zh-CN"/>
        </w:rPr>
      </w:pPr>
      <w:r>
        <w:rPr>
          <w:rFonts w:hint="eastAsia"/>
          <w:lang w:eastAsia="zh-CN"/>
        </w:rPr>
        <w:t>全球范围内，</w:t>
      </w:r>
      <w:r>
        <w:rPr>
          <w:lang w:eastAsia="zh-CN"/>
        </w:rPr>
        <w:t>工业紧凑型台秤</w:t>
      </w:r>
      <w:r>
        <w:rPr>
          <w:rFonts w:hint="eastAsia"/>
          <w:lang w:eastAsia="zh-CN"/>
        </w:rPr>
        <w:t>主要生产商包括</w:t>
      </w:r>
      <w:r>
        <w:rPr>
          <w:lang w:eastAsia="zh-CN"/>
        </w:rPr>
        <w:t>METTLER TOLEDO, Minebea Intec, A&amp;D, Kern &amp; Sohn and Ohaus</w:t>
      </w:r>
      <w:r>
        <w:rPr>
          <w:rFonts w:hint="eastAsia"/>
          <w:lang w:eastAsia="zh-CN"/>
        </w:rPr>
        <w:t>等，其中前五大厂商占有大约</w:t>
      </w:r>
      <w:r>
        <w:rPr>
          <w:lang w:eastAsia="zh-CN"/>
        </w:rPr>
        <w:t>42%</w:t>
      </w:r>
      <w:r>
        <w:rPr>
          <w:rFonts w:hint="eastAsia"/>
          <w:lang w:eastAsia="zh-CN"/>
        </w:rPr>
        <w:t>的市场份额。</w:t>
      </w:r>
    </w:p>
    <w:p w14:paraId="6E466FB3">
      <w:pPr>
        <w:pStyle w:val="145"/>
        <w:rPr>
          <w:rFonts w:hint="eastAsia"/>
          <w:lang w:eastAsia="zh-CN"/>
        </w:rPr>
      </w:pPr>
      <w:r>
        <w:rPr>
          <w:rFonts w:hint="eastAsia"/>
          <w:lang w:eastAsia="zh-CN"/>
        </w:rPr>
        <w:t>目前，全球核心厂商主要分布在北美</w:t>
      </w:r>
      <w:r>
        <w:rPr>
          <w:lang w:eastAsia="zh-CN"/>
        </w:rPr>
        <w:t>和欧洲</w:t>
      </w:r>
      <w:r>
        <w:rPr>
          <w:rFonts w:hint="eastAsia"/>
          <w:lang w:eastAsia="zh-CN"/>
        </w:rPr>
        <w:t>。</w:t>
      </w:r>
    </w:p>
    <w:p w14:paraId="3B2E5865">
      <w:pPr>
        <w:pStyle w:val="145"/>
        <w:rPr>
          <w:lang w:eastAsia="zh-CN"/>
        </w:rPr>
      </w:pPr>
    </w:p>
    <w:p w14:paraId="3E6DE9A8">
      <w:pPr>
        <w:pStyle w:val="148"/>
        <w:rPr>
          <w:lang w:eastAsia="zh-CN"/>
        </w:rPr>
      </w:pPr>
      <w:r>
        <w:rPr>
          <w:lang w:eastAsia="zh-CN"/>
        </w:rPr>
        <w:t>工业紧凑型台秤</w:t>
      </w:r>
      <w:r>
        <w:rPr>
          <w:rFonts w:hint="eastAsia"/>
          <w:lang w:eastAsia="zh-CN"/>
        </w:rPr>
        <w:t>，全球市场规模，按产品类型细分，承重能力 10 kg-30 kg处于主导地位</w:t>
      </w:r>
    </w:p>
    <w:p w14:paraId="19A9AF05">
      <w:pPr>
        <w:pStyle w:val="145"/>
        <w:rPr>
          <w:lang w:eastAsia="zh-CN"/>
        </w:rPr>
      </w:pPr>
      <w:r>
        <w:drawing>
          <wp:inline distT="0" distB="0" distL="0" distR="0">
            <wp:extent cx="6188710" cy="2922270"/>
            <wp:effectExtent l="0" t="0" r="2540" b="0"/>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1DAC1641">
      <w:pPr>
        <w:pStyle w:val="145"/>
        <w:rPr>
          <w:lang w:eastAsia="zh-CN"/>
        </w:rPr>
      </w:pPr>
    </w:p>
    <w:p w14:paraId="39AE0722">
      <w:pPr>
        <w:pStyle w:val="143"/>
        <w:rPr>
          <w:lang w:eastAsia="zh-CN"/>
        </w:rPr>
      </w:pPr>
      <w:r>
        <w:rPr>
          <w:rFonts w:hint="eastAsia"/>
          <w:lang w:eastAsia="zh-CN"/>
        </w:rPr>
        <w:t>来源：QYResearch 研究中心</w:t>
      </w:r>
    </w:p>
    <w:p w14:paraId="0C15F77A">
      <w:pPr>
        <w:pStyle w:val="145"/>
        <w:rPr>
          <w:lang w:eastAsia="zh-CN"/>
        </w:rPr>
      </w:pPr>
      <w:r>
        <w:rPr>
          <w:rFonts w:hint="eastAsia"/>
          <w:lang w:eastAsia="zh-CN"/>
        </w:rPr>
        <w:t>就产品类型而言，目前承重能力 10 kg-30 kg 是最主要的细分产品，占据大约</w:t>
      </w:r>
      <w:r>
        <w:rPr>
          <w:lang w:eastAsia="zh-CN"/>
        </w:rPr>
        <w:t>48%</w:t>
      </w:r>
      <w:r>
        <w:rPr>
          <w:rFonts w:hint="eastAsia"/>
          <w:lang w:eastAsia="zh-CN"/>
        </w:rPr>
        <w:t>的份额。</w:t>
      </w:r>
    </w:p>
    <w:p w14:paraId="41C3AE68">
      <w:pPr>
        <w:pStyle w:val="145"/>
        <w:rPr>
          <w:lang w:eastAsia="zh-CN"/>
        </w:rPr>
      </w:pPr>
    </w:p>
    <w:p w14:paraId="0B069045">
      <w:pPr>
        <w:pStyle w:val="148"/>
        <w:rPr>
          <w:lang w:eastAsia="zh-CN"/>
        </w:rPr>
      </w:pPr>
      <w:r>
        <w:rPr>
          <w:lang w:eastAsia="zh-CN"/>
        </w:rPr>
        <w:t>工业紧凑型台秤</w:t>
      </w:r>
      <w:r>
        <w:rPr>
          <w:rFonts w:hint="eastAsia"/>
          <w:lang w:eastAsia="zh-CN"/>
        </w:rPr>
        <w:t>，全球市场规模，按应用细分，食品行业是最大的下游市场，占有</w:t>
      </w:r>
      <w:r>
        <w:rPr>
          <w:lang w:eastAsia="zh-CN"/>
        </w:rPr>
        <w:t>26%</w:t>
      </w:r>
      <w:r>
        <w:rPr>
          <w:rFonts w:hint="eastAsia"/>
          <w:lang w:eastAsia="zh-CN"/>
        </w:rPr>
        <w:t>份额。</w:t>
      </w:r>
    </w:p>
    <w:p w14:paraId="1F9213C6">
      <w:pPr>
        <w:widowControl/>
        <w:topLinePunct w:val="0"/>
        <w:spacing w:after="0"/>
        <w:jc w:val="left"/>
        <w:rPr>
          <w:rFonts w:ascii="宋体" w:hAnsi="宋体" w:cs="宋体"/>
          <w:kern w:val="0"/>
          <w:sz w:val="24"/>
          <w:szCs w:val="24"/>
        </w:rPr>
      </w:pPr>
      <w:r>
        <w:drawing>
          <wp:inline distT="0" distB="0" distL="0" distR="0">
            <wp:extent cx="6188710" cy="2922270"/>
            <wp:effectExtent l="0" t="0" r="2540" b="0"/>
            <wp:docPr id="6"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r>
        <w:rPr>
          <w:rFonts w:ascii="宋体" w:hAnsi="宋体" w:cs="宋体"/>
          <w:kern w:val="0"/>
          <w:sz w:val="24"/>
          <w:szCs w:val="24"/>
        </w:rPr>
        <w:t xml:space="preserve"> </w:t>
      </w:r>
    </w:p>
    <w:p w14:paraId="1753BDFC">
      <w:pPr>
        <w:pStyle w:val="143"/>
        <w:rPr>
          <w:lang w:eastAsia="zh-CN"/>
        </w:rPr>
      </w:pPr>
      <w:r>
        <w:rPr>
          <w:rFonts w:hint="eastAsia"/>
          <w:lang w:eastAsia="zh-CN"/>
        </w:rPr>
        <w:t>来源：QYResearch 研究中心</w:t>
      </w:r>
    </w:p>
    <w:p w14:paraId="08CA65EC">
      <w:pPr>
        <w:pStyle w:val="143"/>
      </w:pPr>
    </w:p>
    <w:p w14:paraId="57B4BA57">
      <w:pPr>
        <w:pStyle w:val="145"/>
        <w:rPr>
          <w:lang w:eastAsia="zh-CN"/>
        </w:rPr>
      </w:pPr>
      <w:r>
        <w:rPr>
          <w:rFonts w:hint="eastAsia"/>
          <w:lang w:eastAsia="zh-CN"/>
        </w:rPr>
        <w:t>就产品类型而言，目前食品行业e是最主要的需求来源，占据大约食品行业的份额。</w:t>
      </w:r>
    </w:p>
    <w:p w14:paraId="4B5D90DE">
      <w:pPr>
        <w:pStyle w:val="145"/>
        <w:rPr>
          <w:lang w:eastAsia="zh-CN"/>
        </w:rPr>
      </w:pPr>
    </w:p>
    <w:p w14:paraId="5F8B78C0">
      <w:pPr>
        <w:pStyle w:val="148"/>
        <w:rPr>
          <w:lang w:eastAsia="zh-CN"/>
        </w:rPr>
      </w:pPr>
      <w:r>
        <w:rPr>
          <w:rFonts w:hint="eastAsia"/>
          <w:lang w:eastAsia="zh-CN"/>
        </w:rPr>
        <w:t>全球</w:t>
      </w:r>
      <w:r>
        <w:rPr>
          <w:lang w:eastAsia="zh-CN"/>
        </w:rPr>
        <w:t>工业紧凑型台秤</w:t>
      </w:r>
      <w:r>
        <w:rPr>
          <w:rFonts w:hint="eastAsia"/>
          <w:lang w:eastAsia="zh-CN"/>
        </w:rPr>
        <w:t>规模，主要生产地区份额（按产值）</w:t>
      </w:r>
    </w:p>
    <w:p w14:paraId="02059567">
      <w:pPr>
        <w:pStyle w:val="143"/>
        <w:rPr>
          <w:lang w:eastAsia="zh-CN"/>
        </w:rPr>
      </w:pPr>
      <w:r>
        <w:drawing>
          <wp:inline distT="0" distB="0" distL="0" distR="0">
            <wp:extent cx="6188710" cy="2922270"/>
            <wp:effectExtent l="0" t="0" r="2540" b="0"/>
            <wp:docPr id="7"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r>
        <w:rPr>
          <w:rFonts w:hint="eastAsia"/>
          <w:lang w:eastAsia="zh-CN"/>
        </w:rPr>
        <w:t>来源：QYResearch 研究中心</w:t>
      </w:r>
    </w:p>
    <w:p w14:paraId="5315F7D2">
      <w:pPr>
        <w:pStyle w:val="143"/>
      </w:pPr>
    </w:p>
    <w:p w14:paraId="0CD10F4E">
      <w:pPr>
        <w:pStyle w:val="148"/>
        <w:rPr>
          <w:lang w:eastAsia="zh-CN"/>
        </w:rPr>
      </w:pPr>
      <w:r>
        <w:rPr>
          <w:rFonts w:hint="eastAsia"/>
          <w:lang w:eastAsia="zh-CN"/>
        </w:rPr>
        <w:t>全球主要市场</w:t>
      </w:r>
      <w:r>
        <w:rPr>
          <w:lang w:eastAsia="zh-CN"/>
        </w:rPr>
        <w:t>工业紧凑型台秤</w:t>
      </w:r>
      <w:r>
        <w:rPr>
          <w:rFonts w:hint="eastAsia"/>
          <w:lang w:eastAsia="zh-CN"/>
        </w:rPr>
        <w:t>规模</w:t>
      </w:r>
    </w:p>
    <w:p w14:paraId="43FD29A5">
      <w:pPr>
        <w:pStyle w:val="143"/>
        <w:rPr>
          <w:lang w:eastAsia="zh-CN"/>
        </w:rPr>
      </w:pPr>
      <w:r>
        <w:drawing>
          <wp:inline distT="0" distB="0" distL="0" distR="0">
            <wp:extent cx="6188710" cy="2922270"/>
            <wp:effectExtent l="0" t="0" r="2540" b="0"/>
            <wp:docPr id="8" name="图表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r>
        <w:rPr>
          <w:rFonts w:hint="eastAsia"/>
          <w:lang w:eastAsia="zh-CN"/>
        </w:rPr>
        <w:t>来源：QYResearch 研究中心</w:t>
      </w:r>
    </w:p>
    <w:p w14:paraId="265C5B20">
      <w:pPr>
        <w:pStyle w:val="143"/>
      </w:pPr>
    </w:p>
    <w:p w14:paraId="4020B357">
      <w:pPr>
        <w:pStyle w:val="145"/>
      </w:pPr>
    </w:p>
    <w:p w14:paraId="418CECD8">
      <w:pPr>
        <w:pStyle w:val="145"/>
        <w:rPr>
          <w:lang w:eastAsia="zh-CN"/>
        </w:rPr>
      </w:pPr>
      <w:r>
        <w:rPr>
          <w:rFonts w:hint="eastAsia"/>
          <w:lang w:eastAsia="zh-CN"/>
        </w:rPr>
        <w:t>主要驱动因素</w:t>
      </w:r>
      <w:r>
        <w:rPr>
          <w:lang w:eastAsia="zh-CN"/>
        </w:rPr>
        <w:t>:</w:t>
      </w:r>
    </w:p>
    <w:p w14:paraId="5D203FBB">
      <w:pPr>
        <w:pStyle w:val="145"/>
        <w:rPr>
          <w:rFonts w:hint="eastAsia"/>
          <w:lang w:eastAsia="zh-CN"/>
        </w:rPr>
      </w:pPr>
      <w:r>
        <w:rPr>
          <w:rFonts w:hint="eastAsia"/>
          <w:lang w:eastAsia="zh-CN"/>
        </w:rPr>
        <w:t>全球范围内食品安全法规（HACCP、FDA、欧盟法规）的不断扩展，推动了对精准卫生称重解决方案的需求。在制药领域，严格的良好生产规范 (GMP) 标准要求高精度称重，以保证药物配方和质量。</w:t>
      </w:r>
    </w:p>
    <w:p w14:paraId="3939D774">
      <w:pPr>
        <w:pStyle w:val="145"/>
        <w:rPr>
          <w:rFonts w:hint="eastAsia"/>
          <w:lang w:eastAsia="zh-CN"/>
        </w:rPr>
      </w:pPr>
      <w:r>
        <w:rPr>
          <w:rFonts w:hint="eastAsia"/>
          <w:lang w:eastAsia="zh-CN"/>
        </w:rPr>
        <w:t>电子商务、最后一公里配送和仓库自动化的爆炸式增长，迫切需要用于包裹称重、库存追踪和仓库管理的紧凑型台秤。亚马逊的配送中心使用数千台紧凑型工业秤在发货前对包裹进行称重，以确保符合快递重量等级要求。</w:t>
      </w:r>
    </w:p>
    <w:p w14:paraId="5666E4F2">
      <w:pPr>
        <w:pStyle w:val="145"/>
        <w:rPr>
          <w:lang w:eastAsia="zh-CN"/>
        </w:rPr>
      </w:pPr>
      <w:r>
        <w:rPr>
          <w:rFonts w:hint="eastAsia"/>
          <w:lang w:eastAsia="zh-CN"/>
        </w:rPr>
        <w:t>称重传感器和力恢复技术的创新正在提高精度、速度和长期稳定性。全新设计减少了热漂移、机械应力和电子干扰，使现代台秤比旧款更加可靠。</w:t>
      </w:r>
    </w:p>
    <w:p w14:paraId="446A06E2">
      <w:pPr>
        <w:pStyle w:val="145"/>
        <w:rPr>
          <w:lang w:eastAsia="zh-CN"/>
        </w:rPr>
      </w:pPr>
      <w:r>
        <w:rPr>
          <w:rFonts w:hint="eastAsia"/>
          <w:lang w:eastAsia="zh-CN"/>
        </w:rPr>
        <w:t>主要阻碍因素</w:t>
      </w:r>
      <w:r>
        <w:rPr>
          <w:lang w:eastAsia="zh-CN"/>
        </w:rPr>
        <w:t>:</w:t>
      </w:r>
    </w:p>
    <w:p w14:paraId="412D2A48">
      <w:pPr>
        <w:pStyle w:val="145"/>
        <w:rPr>
          <w:rFonts w:hint="eastAsia"/>
          <w:lang w:eastAsia="zh-CN"/>
        </w:rPr>
      </w:pPr>
      <w:r>
        <w:rPr>
          <w:rFonts w:hint="eastAsia"/>
          <w:lang w:eastAsia="zh-CN"/>
        </w:rPr>
        <w:t>工业称重设备市场竞争激烈，众多厂商提供类似产品，但价格差异巨大。例如，中国制造商正在生产低成本替代品，这使得高端品牌难以维持更高的价格。</w:t>
      </w:r>
    </w:p>
    <w:p w14:paraId="3296E651">
      <w:pPr>
        <w:pStyle w:val="145"/>
        <w:rPr>
          <w:lang w:eastAsia="zh-CN"/>
        </w:rPr>
      </w:pPr>
      <w:r>
        <w:rPr>
          <w:rFonts w:hint="eastAsia"/>
          <w:lang w:eastAsia="zh-CN"/>
        </w:rPr>
        <w:t>许多传统工业系统与现代数字台秤缺乏兼容性，需要定制软件解决方案。企业通常需要定制 API、数据转换器或固件更新才能将这些秤集成到现有的 ERP/MES 系统中，这增加了实施成本。</w:t>
      </w:r>
    </w:p>
    <w:p w14:paraId="620E7F93">
      <w:pPr>
        <w:pStyle w:val="145"/>
        <w:rPr>
          <w:lang w:eastAsia="zh-CN"/>
        </w:rPr>
      </w:pPr>
      <w:r>
        <w:rPr>
          <w:rFonts w:hint="eastAsia"/>
          <w:lang w:eastAsia="zh-CN"/>
        </w:rPr>
        <w:t>行业发展机遇</w:t>
      </w:r>
      <w:r>
        <w:rPr>
          <w:lang w:eastAsia="zh-CN"/>
        </w:rPr>
        <w:t>:</w:t>
      </w:r>
    </w:p>
    <w:p w14:paraId="135901D8">
      <w:pPr>
        <w:pStyle w:val="145"/>
        <w:rPr>
          <w:lang w:eastAsia="zh-CN"/>
        </w:rPr>
      </w:pPr>
      <w:r>
        <w:rPr>
          <w:rFonts w:hint="eastAsia"/>
          <w:lang w:eastAsia="zh-CN"/>
        </w:rPr>
        <w:t>工业台秤正不断演进，超越基本的称重功能，集成了</w:t>
      </w:r>
      <w:r>
        <w:rPr>
          <w:lang w:eastAsia="zh-CN"/>
        </w:rPr>
        <w:t>Wi-Fi</w:t>
      </w:r>
      <w:r>
        <w:rPr>
          <w:rFonts w:hint="eastAsia"/>
          <w:lang w:eastAsia="zh-CN"/>
        </w:rPr>
        <w:t>、蓝牙和云端数据存储等物联网</w:t>
      </w:r>
      <w:r>
        <w:rPr>
          <w:lang w:eastAsia="zh-CN"/>
        </w:rPr>
        <w:t xml:space="preserve"> (IoT) </w:t>
      </w:r>
      <w:r>
        <w:rPr>
          <w:rFonts w:hint="eastAsia"/>
          <w:lang w:eastAsia="zh-CN"/>
        </w:rPr>
        <w:t>功能。这些智能秤可以与企业资源规划</w:t>
      </w:r>
      <w:r>
        <w:rPr>
          <w:lang w:eastAsia="zh-CN"/>
        </w:rPr>
        <w:t xml:space="preserve"> (ERP) </w:t>
      </w:r>
      <w:r>
        <w:rPr>
          <w:rFonts w:hint="eastAsia"/>
          <w:lang w:eastAsia="zh-CN"/>
        </w:rPr>
        <w:t>和制造执行系统</w:t>
      </w:r>
      <w:r>
        <w:rPr>
          <w:lang w:eastAsia="zh-CN"/>
        </w:rPr>
        <w:t xml:space="preserve"> ​​(MES) </w:t>
      </w:r>
      <w:r>
        <w:rPr>
          <w:rFonts w:hint="eastAsia"/>
          <w:lang w:eastAsia="zh-CN"/>
        </w:rPr>
        <w:t>同步，实现实时数据跟踪，从而提高生产效率。在制药行业，支持物联网的秤可确保精准的配方跟踪，减少人为错误，并满足严格的监管标准。</w:t>
      </w:r>
    </w:p>
    <w:p w14:paraId="58A88785">
      <w:pPr>
        <w:pStyle w:val="145"/>
        <w:rPr>
          <w:rFonts w:hint="eastAsia"/>
          <w:lang w:eastAsia="zh-CN"/>
        </w:rPr>
      </w:pPr>
      <w:r>
        <w:rPr>
          <w:rFonts w:hint="eastAsia"/>
          <w:lang w:eastAsia="zh-CN"/>
        </w:rPr>
        <w:t>随着工业设施优化空间利用率，更紧凑、更轻便、可堆叠且保持高精度的台秤正逐渐流行。许多型号现在采用可拆卸显示屏和模块化设计，以适应不同的工作空间。</w:t>
      </w:r>
    </w:p>
    <w:p w14:paraId="74641357">
      <w:pPr>
        <w:pStyle w:val="145"/>
        <w:rPr>
          <w:lang w:eastAsia="zh-CN"/>
        </w:rPr>
      </w:pPr>
      <w:r>
        <w:rPr>
          <w:rFonts w:hint="eastAsia"/>
          <w:lang w:eastAsia="zh-CN"/>
        </w:rPr>
        <w:t>工业环境要求秤能够承受灰尘、潮湿和化学物质等恶劣环境。制造商正在推出高IP防护等级 (IP67) 的秤，其机身采用不锈钢材质，表面采用防腐涂层，并采用防爆设计，以满足化工制造和食品加工等行业的需求。IP67防护等级的秤广泛应用于需要频繁冲洗的肉类加工厂。</w:t>
      </w:r>
      <w:bookmarkEnd w:id="0"/>
      <w:bookmarkEnd w:id="1"/>
      <w:bookmarkEnd w:id="2"/>
      <w:bookmarkEnd w:id="3"/>
      <w:bookmarkEnd w:id="4"/>
      <w:bookmarkEnd w:id="5"/>
      <w:bookmarkEnd w:id="6"/>
      <w:bookmarkEnd w:id="7"/>
      <w:bookmarkEnd w:id="8"/>
      <w:bookmarkEnd w:id="9"/>
      <w:bookmarkEnd w:id="10"/>
      <w:bookmarkEnd w:id="11"/>
      <w:bookmarkEnd w:id="12"/>
      <w:bookmarkStart w:id="13" w:name="_GoBack"/>
      <w:bookmarkEnd w:id="13"/>
    </w:p>
    <w:p w14:paraId="07A95001">
      <w:pPr>
        <w:pStyle w:val="145"/>
        <w:rPr>
          <w:lang w:eastAsia="zh-CN"/>
        </w:rPr>
      </w:pPr>
    </w:p>
    <w:sectPr>
      <w:headerReference r:id="rId6" w:type="first"/>
      <w:headerReference r:id="rId4" w:type="default"/>
      <w:headerReference r:id="rId5" w:type="even"/>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Frutiger">
    <w:altName w:val="Cambria"/>
    <w:panose1 w:val="00000000000000000000"/>
    <w:charset w:val="00"/>
    <w:family w:val="roman"/>
    <w:pitch w:val="default"/>
    <w:sig w:usb0="00000000" w:usb1="00000000" w:usb2="00000000" w:usb3="00000000" w:csb0="00000000" w:csb1="0000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 w:name="Arial">
    <w:panose1 w:val="020B0604020202020204"/>
    <w:charset w:val="00"/>
    <w:family w:val="swiss"/>
    <w:pitch w:val="default"/>
    <w:sig w:usb0="E0002EFF" w:usb1="C000785B" w:usb2="00000009" w:usb3="00000000" w:csb0="400001FF" w:csb1="FFFF0000"/>
  </w:font>
  <w:font w:name="Century Gothic">
    <w:panose1 w:val="020B0502020202020204"/>
    <w:charset w:val="00"/>
    <w:family w:val="swiss"/>
    <w:pitch w:val="default"/>
    <w:sig w:usb0="00000287" w:usb1="00000000" w:usb2="00000000" w:usb3="00000000" w:csb0="2000009F" w:csb1="DFD70000"/>
  </w:font>
  <w:font w:name="Franklin Gothic Demi">
    <w:panose1 w:val="020B0703020102020204"/>
    <w:charset w:val="00"/>
    <w:family w:val="swiss"/>
    <w:pitch w:val="default"/>
    <w:sig w:usb0="00000287" w:usb1="00000000" w:usb2="00000000" w:usb3="00000000" w:csb0="2000009F" w:csb1="DFD7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EBBC53">
    <w:pPr>
      <w:pStyle w:val="22"/>
      <w:pBdr>
        <w:bottom w:val="none" w:color="auto" w:sz="0" w:space="0"/>
      </w:pBdr>
      <w:jc w:val="both"/>
    </w:pPr>
    <w:r>
      <w:rPr>
        <w:rFonts w:ascii="Franklin Gothic Demi" w:hAnsi="Franklin Gothic Demi"/>
        <w:color w:val="FFFFFF" w:themeColor="background1"/>
        <w:sz w:val="28"/>
        <w14:textFill>
          <w14:solidFill>
            <w14:schemeClr w14:val="bg1"/>
          </w14:solidFill>
        </w14:textFill>
      </w:rPr>
      <w:drawing>
        <wp:anchor distT="0" distB="0" distL="114300" distR="114300" simplePos="0" relativeHeight="251661312" behindDoc="1" locked="0" layoutInCell="1" allowOverlap="1">
          <wp:simplePos x="0" y="0"/>
          <wp:positionH relativeFrom="page">
            <wp:posOffset>-70485</wp:posOffset>
          </wp:positionH>
          <wp:positionV relativeFrom="page">
            <wp:posOffset>0</wp:posOffset>
          </wp:positionV>
          <wp:extent cx="7655560" cy="1105535"/>
          <wp:effectExtent l="0" t="0" r="3175" b="0"/>
          <wp:wrapNone/>
          <wp:docPr id="1550190406" name="图片 1550190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190406" name="图片 155019040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55312" cy="1105535"/>
                  </a:xfrm>
                  <a:prstGeom prst="rect">
                    <a:avLst/>
                  </a:prstGeom>
                </pic:spPr>
              </pic:pic>
            </a:graphicData>
          </a:graphic>
        </wp:anchor>
      </w:drawing>
    </w:r>
    <w:r>
      <w:rPr>
        <w:rFonts w:ascii="Franklin Gothic Demi" w:hAnsi="Franklin Gothic Demi"/>
        <w:color w:val="FFFFFF" w:themeColor="background1"/>
        <w:sz w:val="28"/>
        <w14:textFill>
          <w14:solidFill>
            <w14:schemeClr w14:val="bg1"/>
          </w14:solidFill>
        </w14:textFill>
      </w:rPr>
      <mc:AlternateContent>
        <mc:Choice Requires="wps">
          <w:drawing>
            <wp:anchor distT="45720" distB="45720" distL="114300" distR="114300" simplePos="0" relativeHeight="251662336" behindDoc="0" locked="0" layoutInCell="1" allowOverlap="1">
              <wp:simplePos x="0" y="0"/>
              <wp:positionH relativeFrom="margin">
                <wp:posOffset>-233680</wp:posOffset>
              </wp:positionH>
              <wp:positionV relativeFrom="paragraph">
                <wp:posOffset>-331470</wp:posOffset>
              </wp:positionV>
              <wp:extent cx="5201920" cy="783590"/>
              <wp:effectExtent l="0" t="0" r="0" b="0"/>
              <wp:wrapSquare wrapText="bothSides"/>
              <wp:docPr id="1907098769" name="Text Box 2"/>
              <wp:cNvGraphicFramePr/>
              <a:graphic xmlns:a="http://schemas.openxmlformats.org/drawingml/2006/main">
                <a:graphicData uri="http://schemas.microsoft.com/office/word/2010/wordprocessingShape">
                  <wps:wsp>
                    <wps:cNvSpPr txBox="1">
                      <a:spLocks noChangeArrowheads="1"/>
                    </wps:cNvSpPr>
                    <wps:spPr bwMode="auto">
                      <a:xfrm>
                        <a:off x="0" y="0"/>
                        <a:ext cx="5201920" cy="783590"/>
                      </a:xfrm>
                      <a:prstGeom prst="rect">
                        <a:avLst/>
                      </a:prstGeom>
                      <a:noFill/>
                      <a:ln w="9525">
                        <a:noFill/>
                        <a:miter lim="800000"/>
                      </a:ln>
                      <a:effectLst/>
                    </wps:spPr>
                    <wps:txbx>
                      <w:txbxContent>
                        <w:p w14:paraId="65371B16">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全球工业紧凑型台秤市场研究报告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18.4pt;margin-top:-26.1pt;height:61.7pt;width:409.6pt;mso-position-horizontal-relative:margin;mso-wrap-distance-bottom:3.6pt;mso-wrap-distance-left:9pt;mso-wrap-distance-right:9pt;mso-wrap-distance-top:3.6pt;z-index:251662336;v-text-anchor:middle;mso-width-relative:page;mso-height-relative:page;" filled="f" stroked="f" coordsize="21600,21600" o:gfxdata="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Ecpl&#10;ZtkAAAAKAQAADwAAAAAAAAABACAAAAAiAAAAZHJzL2Rvd25yZXYueG1sUEsBAhQAFAAAAAgAh07i&#10;QGUIQ3whAgAAQQQAAA4AAAAAAAAAAQAgAAAAKAEAAGRycy9lMm9Eb2MueG1sUEsFBgAAAAAGAAYA&#10;WQEAALsFAAAAAA==&#10;">
              <v:fill on="f" focussize="0,0"/>
              <v:stroke on="f" miterlimit="8" joinstyle="miter"/>
              <v:imagedata o:title=""/>
              <o:lock v:ext="edit" aspectratio="f"/>
              <v:textbox>
                <w:txbxContent>
                  <w:p w14:paraId="65371B16">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全球工业紧凑型台秤市场研究报告</w:t>
                    </w:r>
                  </w:p>
                </w:txbxContent>
              </v:textbox>
              <w10:wrap type="square"/>
            </v:shape>
          </w:pict>
        </mc:Fallback>
      </mc:AlternateContent>
    </w:r>
  </w:p>
  <w:p w14:paraId="02A48211">
    <w:pPr>
      <w:pStyle w:val="22"/>
      <w:pBdr>
        <w:bottom w:val="none" w:color="auto" w:sz="0" w:space="0"/>
      </w:pBdr>
      <w:jc w:val="both"/>
    </w:pPr>
  </w:p>
  <w:p w14:paraId="7C1E6558">
    <w:pPr>
      <w:pStyle w:val="22"/>
      <w:pBdr>
        <w:bottom w:val="none" w:color="auto" w:sz="0" w:space="0"/>
      </w:pBdr>
      <w:jc w:val="both"/>
    </w:pPr>
  </w:p>
  <w:p w14:paraId="3522D064">
    <w:pPr>
      <w:pStyle w:val="22"/>
      <w:pBdr>
        <w:bottom w:val="none" w:color="auto" w:sz="0" w:space="0"/>
      </w:pBdr>
      <w:jc w:val="both"/>
    </w:pPr>
  </w:p>
  <w:p w14:paraId="0E6B6DFD">
    <w:pPr>
      <w:pStyle w:val="22"/>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839A2F">
    <w:r>
      <w:rPr>
        <w:lang w:eastAsia="en-IN"/>
      </w:rPr>
      <w:pict>
        <v:shape id="WordPictureWatermark17776532" o:spid="_x0000_s2056"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86DDD5">
    <w:r>
      <w:rPr>
        <w:lang w:eastAsia="en-IN"/>
      </w:rPr>
      <w:pict>
        <v:shape id="WordPictureWatermark17776531" o:spid="_x0000_s2055"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2"/>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2E5"/>
    <w:rsid w:val="0000037A"/>
    <w:rsid w:val="0000040F"/>
    <w:rsid w:val="00000507"/>
    <w:rsid w:val="0000064D"/>
    <w:rsid w:val="00000877"/>
    <w:rsid w:val="00000A89"/>
    <w:rsid w:val="00000CBB"/>
    <w:rsid w:val="0000148D"/>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8A7"/>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462"/>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9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9F4"/>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821"/>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3B1"/>
    <w:rsid w:val="00080816"/>
    <w:rsid w:val="00080CA5"/>
    <w:rsid w:val="0008130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7B8"/>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136"/>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664"/>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146"/>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CA5"/>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D72"/>
    <w:rsid w:val="000C7F08"/>
    <w:rsid w:val="000C7FD2"/>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C0E"/>
    <w:rsid w:val="000E2D99"/>
    <w:rsid w:val="000E2F79"/>
    <w:rsid w:val="000E307E"/>
    <w:rsid w:val="000E31B6"/>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E7DCE"/>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C6C"/>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5F"/>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E2A"/>
    <w:rsid w:val="00162E99"/>
    <w:rsid w:val="0016306F"/>
    <w:rsid w:val="0016314C"/>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30F"/>
    <w:rsid w:val="00174813"/>
    <w:rsid w:val="00174928"/>
    <w:rsid w:val="00174B47"/>
    <w:rsid w:val="00175134"/>
    <w:rsid w:val="00175245"/>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6E10"/>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87A"/>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D3F"/>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EE8"/>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6E8"/>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439"/>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06"/>
    <w:rsid w:val="00273040"/>
    <w:rsid w:val="002731F2"/>
    <w:rsid w:val="002731F3"/>
    <w:rsid w:val="00273367"/>
    <w:rsid w:val="00273524"/>
    <w:rsid w:val="00273736"/>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3DC"/>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9EE"/>
    <w:rsid w:val="002B1A3C"/>
    <w:rsid w:val="002B1CB6"/>
    <w:rsid w:val="002B1CDF"/>
    <w:rsid w:val="002B23E5"/>
    <w:rsid w:val="002B248B"/>
    <w:rsid w:val="002B24B5"/>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10A"/>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86A"/>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505"/>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05"/>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4FD"/>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59"/>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0E4"/>
    <w:rsid w:val="003915D3"/>
    <w:rsid w:val="00391663"/>
    <w:rsid w:val="0039166F"/>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A67"/>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530"/>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A5"/>
    <w:rsid w:val="003D28B0"/>
    <w:rsid w:val="003D29E5"/>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B7E"/>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3CA"/>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E75"/>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7FE"/>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670"/>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17"/>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A42"/>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82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693"/>
    <w:rsid w:val="004A07F5"/>
    <w:rsid w:val="004A09A1"/>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6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922"/>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2C19"/>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E5D"/>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1AC"/>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5"/>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65F"/>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35F"/>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75"/>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A3A"/>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BD4"/>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84F"/>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3BE"/>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8C"/>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223"/>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26"/>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839"/>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155"/>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5B9"/>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5DA8"/>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4F40"/>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EDC"/>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810"/>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254"/>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2E4F"/>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E94"/>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118"/>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7BB"/>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59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5EA9"/>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6F2"/>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2EE"/>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7F0"/>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DA2"/>
    <w:rsid w:val="00991F7D"/>
    <w:rsid w:val="009920F9"/>
    <w:rsid w:val="00992271"/>
    <w:rsid w:val="009922D6"/>
    <w:rsid w:val="009922FF"/>
    <w:rsid w:val="009924F7"/>
    <w:rsid w:val="0099257C"/>
    <w:rsid w:val="009926E7"/>
    <w:rsid w:val="00992EC2"/>
    <w:rsid w:val="00993111"/>
    <w:rsid w:val="009934ED"/>
    <w:rsid w:val="009939DE"/>
    <w:rsid w:val="00993B09"/>
    <w:rsid w:val="00993B2B"/>
    <w:rsid w:val="00993B71"/>
    <w:rsid w:val="00993F7B"/>
    <w:rsid w:val="009940CC"/>
    <w:rsid w:val="00994210"/>
    <w:rsid w:val="009943D4"/>
    <w:rsid w:val="00994490"/>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473"/>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19A"/>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561"/>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29A"/>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A8B"/>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22"/>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20F"/>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AD7"/>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729"/>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04"/>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014"/>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066"/>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30E"/>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19"/>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899"/>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3D4F"/>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41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2E7"/>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27E95"/>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634"/>
    <w:rsid w:val="00C6570E"/>
    <w:rsid w:val="00C65A91"/>
    <w:rsid w:val="00C66228"/>
    <w:rsid w:val="00C6632B"/>
    <w:rsid w:val="00C664AF"/>
    <w:rsid w:val="00C6670D"/>
    <w:rsid w:val="00C66968"/>
    <w:rsid w:val="00C66C4B"/>
    <w:rsid w:val="00C67027"/>
    <w:rsid w:val="00C670B2"/>
    <w:rsid w:val="00C6710D"/>
    <w:rsid w:val="00C67194"/>
    <w:rsid w:val="00C675EA"/>
    <w:rsid w:val="00C679FE"/>
    <w:rsid w:val="00C700C4"/>
    <w:rsid w:val="00C700D2"/>
    <w:rsid w:val="00C7064C"/>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CF0"/>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5F58"/>
    <w:rsid w:val="00CA6016"/>
    <w:rsid w:val="00CA6097"/>
    <w:rsid w:val="00CA624B"/>
    <w:rsid w:val="00CA698E"/>
    <w:rsid w:val="00CA6D79"/>
    <w:rsid w:val="00CA6DDC"/>
    <w:rsid w:val="00CA6DEA"/>
    <w:rsid w:val="00CA6EF5"/>
    <w:rsid w:val="00CA700F"/>
    <w:rsid w:val="00CA70AA"/>
    <w:rsid w:val="00CA748A"/>
    <w:rsid w:val="00CA74CA"/>
    <w:rsid w:val="00CA792B"/>
    <w:rsid w:val="00CA7BD9"/>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0B3"/>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4E5"/>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0F"/>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2F0"/>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0A2"/>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925"/>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DE2"/>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BC2"/>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48"/>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3F86"/>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29"/>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0FD"/>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374"/>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59"/>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283"/>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1FFF"/>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24C"/>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6E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3A84"/>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AC"/>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3F9F"/>
    <w:rsid w:val="00F74053"/>
    <w:rsid w:val="00F7426F"/>
    <w:rsid w:val="00F7430B"/>
    <w:rsid w:val="00F74407"/>
    <w:rsid w:val="00F7442A"/>
    <w:rsid w:val="00F74A49"/>
    <w:rsid w:val="00F74FAF"/>
    <w:rsid w:val="00F75106"/>
    <w:rsid w:val="00F7524D"/>
    <w:rsid w:val="00F7550A"/>
    <w:rsid w:val="00F7557B"/>
    <w:rsid w:val="00F75813"/>
    <w:rsid w:val="00F7583F"/>
    <w:rsid w:val="00F758D6"/>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9F5"/>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1A2"/>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8B7"/>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3C4"/>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310D1E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uiPriority="39" w:semiHidden="0" w:name="toc 5"/>
    <w:lsdException w:qFormat="1" w:uiPriority="39" w:semiHidden="0" w:name="toc 6"/>
    <w:lsdException w:uiPriority="39" w:semiHidden="0" w:name="toc 7"/>
    <w:lsdException w:qFormat="1" w:uiPriority="39" w:semiHidden="0" w:name="toc 8"/>
    <w:lsdException w:uiPriority="39" w:semiHidden="0" w:name="toc 9"/>
    <w:lsdException w:uiPriority="99" w:name="Normal Indent"/>
    <w:lsdException w:uiPriority="99" w:name="footnote text"/>
    <w:lsdException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nhideWhenUsed="0" w:uiPriority="0" w:semiHidden="0" w:name="annotation subject"/>
    <w:lsdException w:uiPriority="99" w:name="Table Simple 1"/>
    <w:lsdException w:uiPriority="99" w:name="Table Simple 2"/>
    <w:lsdException w:uiPriority="99" w:name="Table Simple 3"/>
    <w:lsdException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unhideWhenUsed="0" w:uiPriority="0" w:semiHidden="0" w:name="Table Columns 3"/>
    <w:lsdException w:uiPriority="99" w:name="Table Columns 4"/>
    <w:lsdException w:unhideWhenUsed="0" w:uiPriority="0" w:semiHidden="0" w:name="Table Columns 5"/>
    <w:lsdException w:uiPriority="99" w:name="Table Grid 1"/>
    <w:lsdException w:uiPriority="99" w:name="Table Grid 2"/>
    <w:lsdException w:qFormat="1" w:unhideWhenUsed="0" w:uiPriority="0" w:semiHidden="0" w:name="Table Grid 3"/>
    <w:lsdException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iPriority="70" w:semiHidden="0" w:name="Dark List Accent 5"/>
    <w:lsdException w:unhideWhenUsed="0" w:uiPriority="71" w:semiHidden="0" w:name="Colorful Shading Accent 5"/>
    <w:lsdException w:unhideWhenUsed="0" w:uiPriority="72" w:semiHidden="0" w:name="Colorful List Accent 5"/>
    <w:lsdException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semiHidden/>
    <w:unhideWhenUsed/>
    <w:uiPriority w:val="1"/>
  </w:style>
  <w:style w:type="table" w:default="1" w:styleId="34">
    <w:name w:val="Normal Table"/>
    <w:semiHidden/>
    <w:unhideWhenUsed/>
    <w:uiPriority w:val="99"/>
    <w:tblPr>
      <w:tblCellMar>
        <w:top w:w="0" w:type="dxa"/>
        <w:left w:w="108" w:type="dxa"/>
        <w:bottom w:w="0" w:type="dxa"/>
        <w:right w:w="108" w:type="dxa"/>
      </w:tblCellMar>
    </w:tblPr>
  </w:style>
  <w:style w:type="paragraph" w:styleId="10">
    <w:name w:val="toc 7"/>
    <w:basedOn w:val="1"/>
    <w:next w:val="1"/>
    <w:autoRedefine/>
    <w:unhideWhenUsed/>
    <w:uiPriority w:val="39"/>
    <w:pPr>
      <w:ind w:left="2520" w:leftChars="1200"/>
    </w:pPr>
  </w:style>
  <w:style w:type="paragraph" w:styleId="11">
    <w:name w:val="Document Map"/>
    <w:basedOn w:val="1"/>
    <w:link w:val="91"/>
    <w:uiPriority w:val="0"/>
    <w:pPr>
      <w:shd w:val="clear" w:color="auto" w:fill="000080"/>
    </w:pPr>
    <w:rPr>
      <w:rFonts w:asciiTheme="minorHAnsi" w:hAnsiTheme="minorHAnsi"/>
    </w:rPr>
  </w:style>
  <w:style w:type="paragraph" w:styleId="12">
    <w:name w:val="annotation text"/>
    <w:basedOn w:val="1"/>
    <w:link w:val="116"/>
    <w:unhideWhenUsed/>
    <w:uiPriority w:val="0"/>
    <w:pPr>
      <w:jc w:val="left"/>
    </w:pPr>
  </w:style>
  <w:style w:type="paragraph" w:styleId="13">
    <w:name w:val="Body Text"/>
    <w:basedOn w:val="1"/>
    <w:link w:val="112"/>
    <w:qFormat/>
    <w:uiPriority w:val="1"/>
    <w:pPr>
      <w:jc w:val="left"/>
    </w:pPr>
    <w:rPr>
      <w:rFonts w:eastAsia="Arial" w:cs="Arial"/>
      <w:kern w:val="0"/>
      <w:sz w:val="53"/>
      <w:szCs w:val="53"/>
      <w:lang w:eastAsia="en-US"/>
    </w:rPr>
  </w:style>
  <w:style w:type="paragraph" w:styleId="14">
    <w:name w:val="toc 5"/>
    <w:basedOn w:val="1"/>
    <w:next w:val="1"/>
    <w:autoRedefine/>
    <w:unhideWhenUsed/>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uiPriority w:val="0"/>
    <w:rPr>
      <w:rFonts w:ascii="宋体" w:hAnsi="Courier New" w:cs="Courier New"/>
    </w:rPr>
  </w:style>
  <w:style w:type="paragraph" w:styleId="17">
    <w:name w:val="toc 8"/>
    <w:basedOn w:val="1"/>
    <w:next w:val="1"/>
    <w:autoRedefine/>
    <w:unhideWhenUsed/>
    <w:qFormat/>
    <w:uiPriority w:val="39"/>
    <w:pPr>
      <w:ind w:left="2940" w:leftChars="1400"/>
    </w:pPr>
  </w:style>
  <w:style w:type="paragraph" w:styleId="18">
    <w:name w:val="Date"/>
    <w:basedOn w:val="1"/>
    <w:next w:val="1"/>
    <w:link w:val="120"/>
    <w:qFormat/>
    <w:uiPriority w:val="0"/>
    <w:pPr>
      <w:ind w:left="100" w:leftChars="2500"/>
    </w:pPr>
  </w:style>
  <w:style w:type="paragraph" w:styleId="19">
    <w:name w:val="endnote text"/>
    <w:basedOn w:val="1"/>
    <w:link w:val="140"/>
    <w:semiHidden/>
    <w:unhideWhenUsed/>
    <w:qFormat/>
    <w:uiPriority w:val="99"/>
    <w:pPr>
      <w:snapToGrid w:val="0"/>
      <w:jc w:val="left"/>
    </w:pPr>
  </w:style>
  <w:style w:type="paragraph" w:styleId="20">
    <w:name w:val="Balloon Text"/>
    <w:basedOn w:val="1"/>
    <w:link w:val="104"/>
    <w:unhideWhenUsed/>
    <w:qFormat/>
    <w:uiPriority w:val="99"/>
    <w:rPr>
      <w:rFonts w:cs="Arial"/>
      <w:kern w:val="0"/>
      <w:sz w:val="18"/>
      <w:szCs w:val="18"/>
      <w:lang w:eastAsia="en-US"/>
    </w:rPr>
  </w:style>
  <w:style w:type="paragraph" w:styleId="21">
    <w:name w:val="footer"/>
    <w:basedOn w:val="1"/>
    <w:link w:val="74"/>
    <w:unhideWhenUsed/>
    <w:qFormat/>
    <w:uiPriority w:val="99"/>
    <w:pPr>
      <w:tabs>
        <w:tab w:val="center" w:pos="4153"/>
        <w:tab w:val="right" w:pos="8306"/>
      </w:tabs>
      <w:snapToGrid w:val="0"/>
      <w:jc w:val="left"/>
    </w:pPr>
    <w:rPr>
      <w:sz w:val="18"/>
      <w:szCs w:val="18"/>
    </w:rPr>
  </w:style>
  <w:style w:type="paragraph" w:styleId="22">
    <w:name w:val="header"/>
    <w:basedOn w:val="1"/>
    <w:link w:val="73"/>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qFormat/>
    <w:uiPriority w:val="39"/>
    <w:pPr>
      <w:ind w:left="867" w:leftChars="300" w:hanging="567"/>
    </w:pPr>
    <w:rPr>
      <w:color w:val="203864" w:themeColor="accent5" w:themeShade="80"/>
      <w:sz w:val="20"/>
    </w:rPr>
  </w:style>
  <w:style w:type="paragraph" w:styleId="26">
    <w:name w:val="Subtitle"/>
    <w:basedOn w:val="1"/>
    <w:next w:val="1"/>
    <w:link w:val="101"/>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uiPriority w:val="39"/>
    <w:pPr>
      <w:ind w:left="3360" w:leftChars="1600"/>
    </w:pPr>
  </w:style>
  <w:style w:type="paragraph" w:styleId="31">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uiPriority w:val="0"/>
    <w:pPr>
      <w:jc w:val="left"/>
    </w:pPr>
    <w:rPr>
      <w:b/>
      <w:bCs/>
    </w:rPr>
  </w:style>
  <w:style w:type="table" w:styleId="35">
    <w:name w:val="Table Grid"/>
    <w:basedOn w:val="34"/>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unhideWhenUsed/>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unhideWhenUsed/>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unhideWhenUsed/>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unhideWhenUsed/>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unhideWhenUsed/>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unhideWhenUsed/>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qFormat/>
    <w:uiPriority w:val="22"/>
    <w:rPr>
      <w:b/>
      <w:bCs/>
    </w:rPr>
  </w:style>
  <w:style w:type="character" w:styleId="69">
    <w:name w:val="endnote reference"/>
    <w:basedOn w:val="67"/>
    <w:semiHidden/>
    <w:unhideWhenUsed/>
    <w:qFormat/>
    <w:uiPriority w:val="99"/>
    <w:rPr>
      <w:vertAlign w:val="superscript"/>
    </w:rPr>
  </w:style>
  <w:style w:type="character" w:styleId="70">
    <w:name w:val="Emphasis"/>
    <w:qFormat/>
    <w:uiPriority w:val="0"/>
    <w:rPr>
      <w:i/>
      <w:iCs/>
    </w:rPr>
  </w:style>
  <w:style w:type="character" w:styleId="71">
    <w:name w:val="Hyperlink"/>
    <w:unhideWhenUsed/>
    <w:qFormat/>
    <w:uiPriority w:val="99"/>
    <w:rPr>
      <w:color w:val="0000FF"/>
      <w:u w:val="single"/>
    </w:rPr>
  </w:style>
  <w:style w:type="character" w:styleId="72">
    <w:name w:val="annotation reference"/>
    <w:qFormat/>
    <w:uiPriority w:val="0"/>
    <w:rPr>
      <w:sz w:val="21"/>
      <w:szCs w:val="21"/>
    </w:rPr>
  </w:style>
  <w:style w:type="character" w:customStyle="1" w:styleId="73">
    <w:name w:val="页眉 字符"/>
    <w:basedOn w:val="67"/>
    <w:link w:val="22"/>
    <w:qFormat/>
    <w:uiPriority w:val="99"/>
    <w:rPr>
      <w:sz w:val="18"/>
      <w:szCs w:val="18"/>
    </w:rPr>
  </w:style>
  <w:style w:type="character" w:customStyle="1" w:styleId="74">
    <w:name w:val="页脚 字符"/>
    <w:basedOn w:val="67"/>
    <w:link w:val="21"/>
    <w:uiPriority w:val="99"/>
    <w:rPr>
      <w:sz w:val="18"/>
      <w:szCs w:val="18"/>
    </w:rPr>
  </w:style>
  <w:style w:type="character" w:customStyle="1" w:styleId="75">
    <w:name w:val="标题 1 字符"/>
    <w:basedOn w:val="67"/>
    <w:uiPriority w:val="9"/>
    <w:rPr>
      <w:rFonts w:ascii="Times New Roman" w:hAnsi="Times New Roman" w:eastAsia="Times New Roman" w:cs="Times New Roman"/>
      <w:b/>
      <w:bCs/>
      <w:kern w:val="44"/>
      <w:sz w:val="44"/>
      <w:szCs w:val="44"/>
    </w:rPr>
  </w:style>
  <w:style w:type="character" w:customStyle="1" w:styleId="76">
    <w:name w:val="标题 2 字符"/>
    <w:basedOn w:val="67"/>
    <w:uiPriority w:val="9"/>
    <w:rPr>
      <w:rFonts w:asciiTheme="majorHAnsi" w:hAnsiTheme="majorHAnsi" w:eastAsiaTheme="majorEastAsia" w:cstheme="majorBidi"/>
      <w:b/>
      <w:bCs/>
      <w:sz w:val="32"/>
      <w:szCs w:val="32"/>
    </w:rPr>
  </w:style>
  <w:style w:type="character" w:customStyle="1" w:styleId="77">
    <w:name w:val="标题 3 字符"/>
    <w:basedOn w:val="67"/>
    <w:uiPriority w:val="9"/>
    <w:rPr>
      <w:rFonts w:ascii="Times New Roman" w:hAnsi="Times New Roman" w:eastAsia="Times New Roman" w:cs="Times New Roman"/>
      <w:b/>
      <w:bCs/>
      <w:sz w:val="32"/>
      <w:szCs w:val="32"/>
    </w:rPr>
  </w:style>
  <w:style w:type="character" w:customStyle="1" w:styleId="78">
    <w:name w:val="标题 4 字符"/>
    <w:basedOn w:val="67"/>
    <w:uiPriority w:val="9"/>
    <w:rPr>
      <w:rFonts w:asciiTheme="majorHAnsi" w:hAnsiTheme="majorHAnsi" w:eastAsiaTheme="majorEastAsia" w:cstheme="majorBidi"/>
      <w:b/>
      <w:bCs/>
      <w:sz w:val="28"/>
      <w:szCs w:val="28"/>
    </w:rPr>
  </w:style>
  <w:style w:type="character" w:customStyle="1" w:styleId="79">
    <w:name w:val="标题 5 字符"/>
    <w:basedOn w:val="67"/>
    <w:uiPriority w:val="9"/>
    <w:rPr>
      <w:rFonts w:ascii="Times New Roman" w:hAnsi="Times New Roman" w:eastAsia="Times New Roman" w:cs="Times New Roman"/>
      <w:b/>
      <w:bCs/>
      <w:sz w:val="28"/>
      <w:szCs w:val="28"/>
    </w:rPr>
  </w:style>
  <w:style w:type="character" w:customStyle="1" w:styleId="80">
    <w:name w:val="标题 6 字符"/>
    <w:basedOn w:val="67"/>
    <w:qFormat/>
    <w:uiPriority w:val="9"/>
    <w:rPr>
      <w:rFonts w:asciiTheme="majorHAnsi" w:hAnsiTheme="majorHAnsi" w:eastAsiaTheme="majorEastAsia" w:cstheme="majorBidi"/>
      <w:b/>
      <w:bCs/>
      <w:sz w:val="24"/>
      <w:szCs w:val="24"/>
    </w:rPr>
  </w:style>
  <w:style w:type="character" w:customStyle="1" w:styleId="81">
    <w:name w:val="标题 1 字符1"/>
    <w:link w:val="2"/>
    <w:uiPriority w:val="9"/>
    <w:rPr>
      <w:rFonts w:ascii="Frutiger" w:hAnsi="Frutiger" w:eastAsia="宋体" w:cs="Calibri"/>
      <w:b/>
      <w:color w:val="FF8200"/>
      <w:kern w:val="0"/>
      <w:sz w:val="44"/>
      <w:szCs w:val="32"/>
      <w:lang w:val="en-IN" w:eastAsia="en-US"/>
    </w:rPr>
  </w:style>
  <w:style w:type="character" w:customStyle="1" w:styleId="82">
    <w:name w:val="标题 2 字符1"/>
    <w:link w:val="3"/>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uiPriority w:val="9"/>
    <w:rPr>
      <w:rFonts w:ascii="Frutiger" w:hAnsi="Frutiger" w:eastAsia="宋体"/>
      <w:b/>
      <w:bCs/>
      <w:sz w:val="26"/>
      <w:szCs w:val="26"/>
      <w:lang w:val="zh-CN" w:eastAsia="zh-CN"/>
    </w:rPr>
  </w:style>
  <w:style w:type="character" w:customStyle="1" w:styleId="85">
    <w:name w:val="标题 5 字符1"/>
    <w:link w:val="6"/>
    <w:uiPriority w:val="9"/>
    <w:rPr>
      <w:rFonts w:ascii="Frutiger" w:hAnsi="Frutiger" w:eastAsia="宋体"/>
      <w:b/>
      <w:bCs/>
      <w:sz w:val="28"/>
      <w:szCs w:val="28"/>
    </w:rPr>
  </w:style>
  <w:style w:type="character" w:customStyle="1" w:styleId="86">
    <w:name w:val="标题 6 字符1"/>
    <w:link w:val="7"/>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uiPriority w:val="0"/>
    <w:pPr>
      <w:ind w:left="420" w:hanging="420"/>
    </w:pPr>
    <w:rPr>
      <w:rFonts w:cs="宋体"/>
      <w:b/>
      <w:bCs/>
      <w:color w:val="FFFFFF"/>
      <w:szCs w:val="20"/>
    </w:rPr>
  </w:style>
  <w:style w:type="character" w:customStyle="1" w:styleId="89">
    <w:name w:val="页眉 Char"/>
    <w:uiPriority w:val="0"/>
    <w:rPr>
      <w:rFonts w:ascii="Arial Unicode MS" w:hAnsi="Arial Unicode MS" w:eastAsia="微软雅黑"/>
      <w:kern w:val="2"/>
      <w:sz w:val="18"/>
      <w:szCs w:val="22"/>
    </w:rPr>
  </w:style>
  <w:style w:type="character" w:customStyle="1" w:styleId="90">
    <w:name w:val="页脚 Char"/>
    <w:uiPriority w:val="99"/>
    <w:rPr>
      <w:rFonts w:ascii="Arial Unicode MS" w:hAnsi="Arial Unicode MS" w:eastAsia="微软雅黑"/>
      <w:kern w:val="2"/>
      <w:sz w:val="18"/>
      <w:szCs w:val="22"/>
    </w:rPr>
  </w:style>
  <w:style w:type="character" w:customStyle="1" w:styleId="91">
    <w:name w:val="文档结构图 字符1"/>
    <w:link w:val="11"/>
    <w:uiPriority w:val="0"/>
    <w:rPr>
      <w:rFonts w:eastAsia="Times New Roman"/>
      <w:szCs w:val="21"/>
      <w:shd w:val="clear" w:color="auto" w:fill="000080"/>
    </w:rPr>
  </w:style>
  <w:style w:type="character" w:customStyle="1" w:styleId="92">
    <w:name w:val="文档结构图 字符"/>
    <w:basedOn w:val="67"/>
    <w:qFormat/>
    <w:uiPriority w:val="99"/>
    <w:rPr>
      <w:rFonts w:ascii="Microsoft YaHei UI" w:hAnsi="Times New Roman" w:eastAsia="Microsoft YaHei UI" w:cs="Times New Roman"/>
      <w:sz w:val="18"/>
      <w:szCs w:val="18"/>
    </w:rPr>
  </w:style>
  <w:style w:type="character" w:customStyle="1" w:styleId="93">
    <w:name w:val="文档结构图 Char1"/>
    <w:uiPriority w:val="99"/>
    <w:rPr>
      <w:rFonts w:ascii="宋体" w:hAnsi="Arial Unicode MS"/>
      <w:kern w:val="2"/>
      <w:sz w:val="18"/>
      <w:szCs w:val="18"/>
    </w:rPr>
  </w:style>
  <w:style w:type="character" w:customStyle="1" w:styleId="94">
    <w:name w:val="纯文本 字符"/>
    <w:basedOn w:val="67"/>
    <w:qFormat/>
    <w:uiPriority w:val="99"/>
    <w:rPr>
      <w:rFonts w:hAnsi="Courier New" w:cs="Courier New" w:asciiTheme="minorEastAsia"/>
      <w:szCs w:val="21"/>
    </w:rPr>
  </w:style>
  <w:style w:type="paragraph" w:customStyle="1" w:styleId="95">
    <w:name w:val="_Style 48"/>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qFormat/>
    <w:uiPriority w:val="10"/>
    <w:rPr>
      <w:rFonts w:asciiTheme="majorHAnsi" w:hAnsiTheme="majorHAnsi" w:eastAsiaTheme="majorEastAsia" w:cstheme="majorBidi"/>
      <w:b/>
      <w:bCs/>
      <w:sz w:val="32"/>
      <w:szCs w:val="32"/>
    </w:rPr>
  </w:style>
  <w:style w:type="character" w:customStyle="1" w:styleId="98">
    <w:name w:val="标题 字符1"/>
    <w:link w:val="32"/>
    <w:qFormat/>
    <w:uiPriority w:val="10"/>
    <w:rPr>
      <w:rFonts w:ascii="Cambria" w:hAnsi="Cambria" w:eastAsia="宋体" w:cs="Times New Roman"/>
      <w:b/>
      <w:bCs/>
      <w:sz w:val="32"/>
      <w:szCs w:val="32"/>
    </w:rPr>
  </w:style>
  <w:style w:type="paragraph" w:customStyle="1" w:styleId="99">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qFormat/>
    <w:uiPriority w:val="11"/>
    <w:rPr>
      <w:b/>
      <w:bCs/>
      <w:kern w:val="28"/>
      <w:sz w:val="32"/>
      <w:szCs w:val="32"/>
    </w:rPr>
  </w:style>
  <w:style w:type="character" w:customStyle="1" w:styleId="101">
    <w:name w:val="副标题 字符1"/>
    <w:link w:val="26"/>
    <w:qFormat/>
    <w:uiPriority w:val="11"/>
    <w:rPr>
      <w:rFonts w:ascii="Cambria" w:hAnsi="Cambria" w:eastAsia="宋体" w:cs="Times New Roman"/>
      <w:b/>
      <w:bCs/>
      <w:kern w:val="28"/>
      <w:sz w:val="32"/>
      <w:szCs w:val="32"/>
    </w:rPr>
  </w:style>
  <w:style w:type="character" w:customStyle="1" w:styleId="102">
    <w:name w:val="@他1"/>
    <w:semiHidden/>
    <w:unhideWhenUsed/>
    <w:qFormat/>
    <w:uiPriority w:val="99"/>
    <w:rPr>
      <w:color w:val="2B579A"/>
      <w:shd w:val="clear" w:color="auto" w:fill="E6E6E6"/>
    </w:rPr>
  </w:style>
  <w:style w:type="character" w:customStyle="1" w:styleId="103">
    <w:name w:val="批注框文本 字符"/>
    <w:basedOn w:val="67"/>
    <w:uiPriority w:val="99"/>
    <w:rPr>
      <w:rFonts w:ascii="Times New Roman" w:hAnsi="Times New Roman" w:eastAsia="Times New Roman" w:cs="Times New Roman"/>
      <w:sz w:val="18"/>
      <w:szCs w:val="18"/>
    </w:rPr>
  </w:style>
  <w:style w:type="character" w:customStyle="1" w:styleId="104">
    <w:name w:val="批注框文本 字符1"/>
    <w:link w:val="20"/>
    <w:qFormat/>
    <w:uiPriority w:val="99"/>
    <w:rPr>
      <w:rFonts w:ascii="Arial" w:hAnsi="Arial" w:eastAsia="Times New Roman" w:cs="Arial"/>
      <w:kern w:val="0"/>
      <w:sz w:val="18"/>
      <w:szCs w:val="18"/>
      <w:lang w:eastAsia="en-US"/>
    </w:rPr>
  </w:style>
  <w:style w:type="table" w:customStyle="1" w:styleId="105">
    <w:name w:val="网格表 4 - 着色 11"/>
    <w:basedOn w:val="34"/>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qFormat/>
    <w:uiPriority w:val="0"/>
    <w:rPr>
      <w:rFonts w:cs="宋体"/>
      <w:szCs w:val="20"/>
    </w:rPr>
  </w:style>
  <w:style w:type="paragraph" w:customStyle="1" w:styleId="107">
    <w:name w:val="样式 标题 5 + (中文) 宋体"/>
    <w:basedOn w:val="6"/>
    <w:qFormat/>
    <w:uiPriority w:val="0"/>
  </w:style>
  <w:style w:type="character" w:customStyle="1" w:styleId="108">
    <w:name w:val="纯文本 字符1"/>
    <w:link w:val="16"/>
    <w:uiPriority w:val="0"/>
    <w:rPr>
      <w:rFonts w:ascii="宋体" w:hAnsi="Courier New" w:eastAsia="Times New Roman" w:cs="Courier New"/>
      <w:szCs w:val="21"/>
    </w:rPr>
  </w:style>
  <w:style w:type="table" w:customStyle="1" w:styleId="109">
    <w:name w:val="网格表 4 - 着色 12"/>
    <w:basedOn w:val="34"/>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qFormat/>
    <w:uiPriority w:val="99"/>
    <w:rPr>
      <w:rFonts w:ascii="Times New Roman" w:hAnsi="Times New Roman" w:eastAsia="Times New Roman" w:cs="Times New Roman"/>
      <w:szCs w:val="21"/>
    </w:rPr>
  </w:style>
  <w:style w:type="character" w:customStyle="1" w:styleId="112">
    <w:name w:val="正文文本 字符1"/>
    <w:link w:val="13"/>
    <w:uiPriority w:val="1"/>
    <w:rPr>
      <w:rFonts w:ascii="Arial" w:hAnsi="Arial" w:eastAsia="Arial" w:cs="Arial"/>
      <w:kern w:val="0"/>
      <w:sz w:val="53"/>
      <w:szCs w:val="53"/>
      <w:lang w:eastAsia="en-US"/>
    </w:rPr>
  </w:style>
  <w:style w:type="paragraph" w:styleId="113">
    <w:name w:val="List Paragraph"/>
    <w:basedOn w:val="1"/>
    <w:link w:val="147"/>
    <w:qFormat/>
    <w:uiPriority w:val="1"/>
    <w:pPr>
      <w:jc w:val="left"/>
    </w:pPr>
    <w:rPr>
      <w:rFonts w:eastAsia="Arial" w:cs="Arial"/>
      <w:kern w:val="0"/>
      <w:szCs w:val="22"/>
      <w:lang w:eastAsia="en-US"/>
    </w:rPr>
  </w:style>
  <w:style w:type="paragraph" w:customStyle="1" w:styleId="114">
    <w:name w:val="Table Paragraph"/>
    <w:basedOn w:val="1"/>
    <w:qFormat/>
    <w:uiPriority w:val="1"/>
    <w:pPr>
      <w:jc w:val="left"/>
    </w:pPr>
    <w:rPr>
      <w:rFonts w:eastAsia="Arial" w:cs="Arial"/>
      <w:kern w:val="0"/>
      <w:szCs w:val="22"/>
      <w:lang w:eastAsia="en-US"/>
    </w:rPr>
  </w:style>
  <w:style w:type="character" w:customStyle="1" w:styleId="115">
    <w:name w:val="批注文字 字符"/>
    <w:basedOn w:val="67"/>
    <w:uiPriority w:val="99"/>
    <w:rPr>
      <w:rFonts w:ascii="Times New Roman" w:hAnsi="Times New Roman" w:eastAsia="Times New Roman" w:cs="Times New Roman"/>
      <w:szCs w:val="21"/>
    </w:rPr>
  </w:style>
  <w:style w:type="character" w:customStyle="1" w:styleId="116">
    <w:name w:val="批注文字 字符1"/>
    <w:link w:val="12"/>
    <w:qFormat/>
    <w:uiPriority w:val="0"/>
    <w:rPr>
      <w:rFonts w:ascii="Times New Roman" w:hAnsi="Times New Roman" w:eastAsia="Times New Roman" w:cs="Times New Roman"/>
      <w:szCs w:val="21"/>
    </w:rPr>
  </w:style>
  <w:style w:type="character" w:customStyle="1" w:styleId="117">
    <w:name w:val="批注主题 字符"/>
    <w:basedOn w:val="115"/>
    <w:qFormat/>
    <w:uiPriority w:val="99"/>
    <w:rPr>
      <w:rFonts w:ascii="Times New Roman" w:hAnsi="Times New Roman" w:eastAsia="Times New Roman" w:cs="Times New Roman"/>
      <w:b/>
      <w:bCs/>
      <w:szCs w:val="21"/>
    </w:rPr>
  </w:style>
  <w:style w:type="character" w:customStyle="1" w:styleId="118">
    <w:name w:val="批注主题 字符1"/>
    <w:link w:val="33"/>
    <w:uiPriority w:val="0"/>
    <w:rPr>
      <w:rFonts w:ascii="Times New Roman" w:hAnsi="Times New Roman" w:eastAsia="Times New Roman" w:cs="Times New Roman"/>
      <w:b/>
      <w:bCs/>
      <w:szCs w:val="21"/>
    </w:rPr>
  </w:style>
  <w:style w:type="character" w:customStyle="1" w:styleId="119">
    <w:name w:val="日期 字符"/>
    <w:basedOn w:val="67"/>
    <w:uiPriority w:val="99"/>
    <w:rPr>
      <w:rFonts w:ascii="Times New Roman" w:hAnsi="Times New Roman" w:eastAsia="Times New Roman" w:cs="Times New Roman"/>
      <w:szCs w:val="21"/>
    </w:rPr>
  </w:style>
  <w:style w:type="character" w:customStyle="1" w:styleId="120">
    <w:name w:val="日期 字符1"/>
    <w:link w:val="18"/>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qFormat/>
    <w:uiPriority w:val="0"/>
    <w:pPr>
      <w:ind w:left="420" w:hanging="420"/>
    </w:pPr>
    <w:rPr>
      <w:rFonts w:cs="宋体"/>
      <w:szCs w:val="20"/>
    </w:rPr>
  </w:style>
  <w:style w:type="paragraph" w:customStyle="1" w:styleId="122">
    <w:name w:val="样式 标题 6 + 首行缩进:  1 字符"/>
    <w:basedOn w:val="7"/>
    <w:uiPriority w:val="0"/>
    <w:rPr>
      <w:rFonts w:cs="宋体"/>
      <w:szCs w:val="20"/>
    </w:rPr>
  </w:style>
  <w:style w:type="paragraph" w:customStyle="1" w:styleId="123">
    <w:name w:val="样式 图表目录 + 左侧:  2 字符 悬挂缩进: 2 字符"/>
    <w:basedOn w:val="28"/>
    <w:autoRedefine/>
    <w:qFormat/>
    <w:uiPriority w:val="0"/>
    <w:pPr>
      <w:ind w:left="842" w:hanging="422"/>
    </w:pPr>
    <w:rPr>
      <w:rFonts w:cs="宋体"/>
    </w:rPr>
  </w:style>
  <w:style w:type="paragraph" w:customStyle="1" w:styleId="124">
    <w:name w:val="样式 图表目录 + 左侧:  2 字符 悬挂缩进: 2 字符1"/>
    <w:basedOn w:val="28"/>
    <w:autoRedefine/>
    <w:qFormat/>
    <w:uiPriority w:val="0"/>
    <w:rPr>
      <w:rFonts w:cs="宋体"/>
    </w:rPr>
  </w:style>
  <w:style w:type="paragraph" w:customStyle="1" w:styleId="125">
    <w:name w:val="样式 11 磅 右"/>
    <w:basedOn w:val="1"/>
    <w:next w:val="1"/>
    <w:qFormat/>
    <w:uiPriority w:val="0"/>
    <w:pPr>
      <w:jc w:val="right"/>
    </w:pPr>
    <w:rPr>
      <w:rFonts w:cs="宋体"/>
      <w:kern w:val="0"/>
      <w:szCs w:val="20"/>
    </w:rPr>
  </w:style>
  <w:style w:type="paragraph" w:customStyle="1" w:styleId="126">
    <w:name w:val="样式 10 磅 左"/>
    <w:basedOn w:val="1"/>
    <w:next w:val="1"/>
    <w:uiPriority w:val="0"/>
    <w:pPr>
      <w:jc w:val="left"/>
    </w:pPr>
    <w:rPr>
      <w:rFonts w:cs="宋体"/>
      <w:kern w:val="0"/>
      <w:sz w:val="20"/>
      <w:szCs w:val="20"/>
    </w:rPr>
  </w:style>
  <w:style w:type="paragraph" w:customStyle="1" w:styleId="127">
    <w:name w:val="样式 10 磅 左1"/>
    <w:basedOn w:val="1"/>
    <w:next w:val="1"/>
    <w:qFormat/>
    <w:uiPriority w:val="0"/>
    <w:pPr>
      <w:jc w:val="left"/>
    </w:pPr>
    <w:rPr>
      <w:rFonts w:cs="宋体"/>
      <w:kern w:val="0"/>
      <w:sz w:val="20"/>
      <w:szCs w:val="20"/>
    </w:rPr>
  </w:style>
  <w:style w:type="paragraph" w:customStyle="1" w:styleId="128">
    <w:name w:val="样式 10 磅 左2"/>
    <w:basedOn w:val="1"/>
    <w:next w:val="1"/>
    <w:qFormat/>
    <w:uiPriority w:val="0"/>
    <w:pPr>
      <w:jc w:val="left"/>
    </w:pPr>
    <w:rPr>
      <w:rFonts w:cs="宋体"/>
      <w:kern w:val="0"/>
      <w:szCs w:val="20"/>
    </w:rPr>
  </w:style>
  <w:style w:type="paragraph" w:customStyle="1" w:styleId="129">
    <w:name w:val="样式 加粗 倾斜 左"/>
    <w:basedOn w:val="1"/>
    <w:next w:val="1"/>
    <w:qFormat/>
    <w:uiPriority w:val="0"/>
    <w:pPr>
      <w:jc w:val="left"/>
    </w:pPr>
    <w:rPr>
      <w:rFonts w:cs="宋体"/>
      <w:b/>
      <w:bCs/>
      <w:i/>
      <w:iCs/>
      <w:kern w:val="0"/>
      <w:szCs w:val="20"/>
    </w:rPr>
  </w:style>
  <w:style w:type="character" w:customStyle="1" w:styleId="130">
    <w:name w:val="apple-converted-space"/>
    <w:uiPriority w:val="0"/>
  </w:style>
  <w:style w:type="paragraph" w:styleId="131">
    <w:name w:val="No Spacing"/>
    <w:link w:val="132"/>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uiPriority w:val="1"/>
    <w:rPr>
      <w:rFonts w:ascii="Calibri" w:hAnsi="Calibri" w:eastAsia="宋体" w:cs="Times New Roman"/>
      <w:kern w:val="0"/>
      <w:sz w:val="22"/>
    </w:rPr>
  </w:style>
  <w:style w:type="paragraph" w:customStyle="1" w:styleId="133">
    <w:name w:val="概述标题"/>
    <w:basedOn w:val="1"/>
    <w:qFormat/>
    <w:uiPriority w:val="0"/>
    <w:rPr>
      <w:b/>
    </w:rPr>
  </w:style>
  <w:style w:type="table" w:customStyle="1" w:styleId="134">
    <w:name w:val="网格表 4 - 着色 13"/>
    <w:basedOn w:val="34"/>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semiHidden/>
    <w:unhideWhenUsed/>
    <w:qFormat/>
    <w:uiPriority w:val="99"/>
    <w:rPr>
      <w:color w:val="605E5C"/>
      <w:shd w:val="clear" w:color="auto" w:fill="E1DFDD"/>
    </w:rPr>
  </w:style>
  <w:style w:type="character" w:customStyle="1" w:styleId="138">
    <w:name w:val="Bold text_1 Char"/>
    <w:link w:val="24"/>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semiHidden/>
    <w:qFormat/>
    <w:uiPriority w:val="99"/>
    <w:rPr>
      <w:rFonts w:ascii="Times New Roman" w:hAnsi="Times New Roman"/>
    </w:rPr>
  </w:style>
  <w:style w:type="character" w:customStyle="1" w:styleId="141">
    <w:name w:val="未处理的提及11"/>
    <w:basedOn w:val="67"/>
    <w:semiHidden/>
    <w:unhideWhenUsed/>
    <w:uiPriority w:val="99"/>
    <w:rPr>
      <w:color w:val="605E5C"/>
      <w:shd w:val="clear" w:color="auto" w:fill="E1DFDD"/>
    </w:rPr>
  </w:style>
  <w:style w:type="character" w:customStyle="1" w:styleId="142">
    <w:name w:val="未处理的提及2"/>
    <w:basedOn w:val="67"/>
    <w:semiHidden/>
    <w:unhideWhenUsed/>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出段落 字符"/>
    <w:basedOn w:val="67"/>
    <w:link w:val="113"/>
    <w:qFormat/>
    <w:uiPriority w:val="1"/>
    <w:rPr>
      <w:rFonts w:ascii="Arial" w:hAnsi="Arial" w:eastAsia="Arial" w:cs="Arial"/>
      <w:kern w:val="0"/>
      <w:sz w:val="22"/>
      <w:szCs w:val="22"/>
      <w:lang w:eastAsia="en-US"/>
    </w:rPr>
  </w:style>
  <w:style w:type="paragraph" w:customStyle="1" w:styleId="148">
    <w:name w:val="Figure Style"/>
    <w:basedOn w:val="113"/>
    <w:link w:val="150"/>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qFormat/>
    <w:uiPriority w:val="0"/>
    <w:pPr>
      <w:pageBreakBefore/>
      <w:jc w:val="both"/>
    </w:pPr>
    <w:rPr>
      <w:szCs w:val="20"/>
    </w:rPr>
  </w:style>
  <w:style w:type="character" w:customStyle="1" w:styleId="154">
    <w:name w:val="Table of Contents Char"/>
    <w:basedOn w:val="67"/>
    <w:link w:val="153"/>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qFormat/>
    <w:uiPriority w:val="0"/>
    <w:pPr>
      <w:tabs>
        <w:tab w:val="right" w:pos="9736"/>
      </w:tabs>
    </w:pPr>
  </w:style>
  <w:style w:type="character" w:customStyle="1" w:styleId="157">
    <w:name w:val="目录 2 字符"/>
    <w:basedOn w:val="67"/>
    <w:link w:val="29"/>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semiHidden/>
    <w:unhideWhenUsed/>
    <w:qFormat/>
    <w:uiPriority w:val="99"/>
    <w:rPr>
      <w:color w:val="605E5C"/>
      <w:shd w:val="clear" w:color="auto" w:fill="E1DFDD"/>
    </w:rPr>
  </w:style>
  <w:style w:type="table" w:customStyle="1" w:styleId="160">
    <w:name w:val="List Table 2 Accent 4"/>
    <w:basedOn w:val="34"/>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qFormat/>
    <w:uiPriority w:val="99"/>
    <w:rPr>
      <w:rFonts w:eastAsia="Times New Roman"/>
      <w:color w:val="00B050"/>
      <w:kern w:val="0"/>
      <w:sz w:val="20"/>
      <w:szCs w:val="20"/>
    </w:rPr>
  </w:style>
  <w:style w:type="character" w:customStyle="1" w:styleId="162">
    <w:name w:val="未处理的提及31"/>
    <w:basedOn w:val="67"/>
    <w:semiHidden/>
    <w:unhideWhenUsed/>
    <w:qFormat/>
    <w:uiPriority w:val="99"/>
    <w:rPr>
      <w:color w:val="605E5C"/>
      <w:shd w:val="clear" w:color="auto" w:fill="E1DFDD"/>
    </w:rPr>
  </w:style>
  <w:style w:type="paragraph" w:customStyle="1" w:styleId="163">
    <w:name w:val="Paragraph"/>
    <w:basedOn w:val="1"/>
    <w:link w:val="164"/>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semiHidden/>
    <w:unhideWhenUsed/>
    <w:qFormat/>
    <w:uiPriority w:val="99"/>
    <w:rPr>
      <w:color w:val="605E5C"/>
      <w:shd w:val="clear" w:color="auto" w:fill="E1DFDD"/>
    </w:rPr>
  </w:style>
  <w:style w:type="paragraph" w:customStyle="1" w:styleId="167">
    <w:name w:val="概述"/>
    <w:basedOn w:val="139"/>
    <w:link w:val="169"/>
    <w:qFormat/>
    <w:uiPriority w:val="0"/>
    <w:pPr>
      <w:keepNext/>
      <w:spacing w:after="120"/>
    </w:pPr>
    <w:rPr>
      <w:rFonts w:ascii="Tahoma" w:hAnsi="Tahoma" w:eastAsia="宋体"/>
      <w:caps w:val="0"/>
      <w:color w:val="FF8200"/>
      <w:sz w:val="24"/>
    </w:rPr>
  </w:style>
  <w:style w:type="character" w:customStyle="1" w:styleId="168">
    <w:name w:val="Style1 字符"/>
    <w:basedOn w:val="67"/>
    <w:link w:val="139"/>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semiHidden/>
    <w:unhideWhenUsed/>
    <w:qFormat/>
    <w:uiPriority w:val="99"/>
    <w:rPr>
      <w:color w:val="605E5C"/>
      <w:shd w:val="clear" w:color="auto" w:fill="E1DFDD"/>
    </w:rPr>
  </w:style>
  <w:style w:type="character" w:customStyle="1" w:styleId="192">
    <w:name w:val="标题 7 字符"/>
    <w:basedOn w:val="67"/>
    <w:link w:val="8"/>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semiHidden/>
    <w:qFormat/>
    <w:uiPriority w:val="9"/>
    <w:rPr>
      <w:rFonts w:asciiTheme="majorHAnsi" w:hAnsiTheme="majorHAnsi" w:eastAsiaTheme="majorEastAsia" w:cstheme="majorBidi"/>
      <w:sz w:val="24"/>
      <w:szCs w:val="24"/>
    </w:rPr>
  </w:style>
  <w:style w:type="character" w:customStyle="1" w:styleId="194">
    <w:name w:val="未处理的提及5"/>
    <w:basedOn w:val="67"/>
    <w:semiHidden/>
    <w:unhideWhenUsed/>
    <w:qFormat/>
    <w:uiPriority w:val="99"/>
    <w:rPr>
      <w:color w:val="605E5C"/>
      <w:shd w:val="clear" w:color="auto" w:fill="E1DFDD"/>
    </w:rPr>
  </w:style>
  <w:style w:type="table" w:customStyle="1" w:styleId="195">
    <w:name w:val="List Table 2 Accent 2"/>
    <w:basedOn w:val="34"/>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qFormat/>
    <w:uiPriority w:val="99"/>
  </w:style>
  <w:style w:type="table" w:customStyle="1" w:styleId="201">
    <w:name w:val="List Table 2 Accent 5"/>
    <w:basedOn w:val="34"/>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hart" Target="charts/chart2.xml"/><Relationship Id="rId8" Type="http://schemas.openxmlformats.org/officeDocument/2006/relationships/chart" Target="charts/chart1.xml"/><Relationship Id="rId7" Type="http://schemas.openxmlformats.org/officeDocument/2006/relationships/theme" Target="theme/theme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2.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chart" Target="charts/chart5.xml"/><Relationship Id="rId11" Type="http://schemas.openxmlformats.org/officeDocument/2006/relationships/chart" Target="charts/chart4.xml"/><Relationship Id="rId10" Type="http://schemas.openxmlformats.org/officeDocument/2006/relationships/chart" Target="charts/chart3.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charts/_rels/chart1.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file:///C:\Users\Administrator\Desktop\&#26032;&#24314;&#25991;&#20214;&#22841;\&#24037;&#19994;&#32039;&#20945;&#22411;&#21488;&#31204;\&#20013;&#25991;&#35266;&#28857;.xlsx"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C:\Users\Administrator\Desktop\&#26032;&#24314;&#25991;&#20214;&#22841;\&#24037;&#19994;&#32039;&#20945;&#22411;&#21488;&#31204;\&#20013;&#25991;&#35266;&#28857;.xlsx" TargetMode="External"/></Relationships>
</file>

<file path=word/charts/_rels/chart3.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C:\Users\Administrator\Desktop\&#26032;&#24314;&#25991;&#20214;&#22841;\&#24037;&#19994;&#32039;&#20945;&#22411;&#21488;&#31204;\&#20013;&#25991;&#35266;&#28857;.xlsx" TargetMode="External"/></Relationships>
</file>

<file path=word/charts/_rels/chart4.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oleObject" Target="file:///C:\Users\Administrator\Desktop\&#26032;&#24314;&#25991;&#20214;&#22841;\&#24037;&#19994;&#32039;&#20945;&#22411;&#21488;&#31204;\&#20013;&#25991;&#35266;&#28857;.xlsx" TargetMode="External"/></Relationships>
</file>

<file path=word/charts/_rels/chart5.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oleObject" Target="file:///C:\Users\Administrator\Desktop\&#26032;&#24314;&#25991;&#20214;&#22841;\&#24037;&#19994;&#32039;&#20945;&#22411;&#21488;&#31204;\&#20013;&#25991;&#35266;&#28857;.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宋体" panose="02010600030101010101" charset="-122"/>
                <a:cs typeface="+mn-cs"/>
              </a:defRPr>
            </a:pPr>
            <a:r>
              <a:rPr lang="zh-CN" sz="1100"/>
              <a:t>全球市场主要企业排名</a:t>
            </a:r>
            <a:endParaRPr lang="en-US" sz="1100"/>
          </a:p>
        </c:rich>
      </c:tx>
      <c:layout>
        <c:manualLayout>
          <c:xMode val="edge"/>
          <c:yMode val="edge"/>
          <c:x val="0.332020778652668"/>
          <c:y val="0.0346320818516983"/>
        </c:manualLayout>
      </c:layout>
      <c:overlay val="0"/>
      <c:spPr>
        <a:noFill/>
        <a:ln>
          <a:noFill/>
        </a:ln>
        <a:effectLst/>
      </c:spPr>
    </c:title>
    <c:autoTitleDeleted val="0"/>
    <c:plotArea>
      <c:layout/>
      <c:barChart>
        <c:barDir val="bar"/>
        <c:grouping val="clustered"/>
        <c:varyColors val="1"/>
        <c:ser>
          <c:idx val="0"/>
          <c:order val="0"/>
          <c:tx>
            <c:strRef>
              <c:f>企业收入!$I$1</c:f>
              <c:strCache>
                <c:ptCount val="1"/>
                <c:pt idx="0">
                  <c:v>2024</c:v>
                </c:pt>
              </c:strCache>
            </c:strRef>
          </c:tx>
          <c:spPr/>
          <c:invertIfNegative val="0"/>
          <c:dPt>
            <c:idx val="0"/>
            <c:invertIfNegative val="0"/>
            <c:bubble3D val="0"/>
            <c:spPr>
              <a:solidFill>
                <a:schemeClr val="accent1"/>
              </a:solidFill>
              <a:ln>
                <a:noFill/>
              </a:ln>
              <a:effectLst/>
            </c:spPr>
          </c:dPt>
          <c:dPt>
            <c:idx val="1"/>
            <c:invertIfNegative val="0"/>
            <c:bubble3D val="0"/>
            <c:spPr>
              <a:solidFill>
                <a:schemeClr val="accent2"/>
              </a:solidFill>
              <a:ln>
                <a:noFill/>
              </a:ln>
              <a:effectLst/>
            </c:spPr>
          </c:dPt>
          <c:dPt>
            <c:idx val="2"/>
            <c:invertIfNegative val="0"/>
            <c:bubble3D val="0"/>
            <c:spPr>
              <a:solidFill>
                <a:schemeClr val="accent3"/>
              </a:solidFill>
              <a:ln>
                <a:noFill/>
              </a:ln>
              <a:effectLst/>
            </c:spPr>
          </c:dPt>
          <c:dPt>
            <c:idx val="3"/>
            <c:invertIfNegative val="0"/>
            <c:bubble3D val="0"/>
            <c:spPr>
              <a:solidFill>
                <a:schemeClr val="accent4"/>
              </a:solidFill>
              <a:ln>
                <a:noFill/>
              </a:ln>
              <a:effectLst/>
            </c:spPr>
          </c:dPt>
          <c:dPt>
            <c:idx val="4"/>
            <c:invertIfNegative val="0"/>
            <c:bubble3D val="0"/>
            <c:spPr>
              <a:solidFill>
                <a:schemeClr val="accent5"/>
              </a:solidFill>
              <a:ln>
                <a:noFill/>
              </a:ln>
              <a:effectLst/>
            </c:spPr>
          </c:dPt>
          <c:dPt>
            <c:idx val="5"/>
            <c:invertIfNegative val="0"/>
            <c:bubble3D val="0"/>
            <c:spPr>
              <a:solidFill>
                <a:schemeClr val="accent6"/>
              </a:solidFill>
              <a:ln>
                <a:noFill/>
              </a:ln>
              <a:effectLst/>
            </c:spPr>
          </c:dPt>
          <c:dPt>
            <c:idx val="6"/>
            <c:invertIfNegative val="0"/>
            <c:bubble3D val="0"/>
            <c:spPr>
              <a:solidFill>
                <a:schemeClr val="accent1">
                  <a:lumMod val="60000"/>
                </a:schemeClr>
              </a:solidFill>
              <a:ln>
                <a:noFill/>
              </a:ln>
              <a:effectLst/>
            </c:spPr>
          </c:dPt>
          <c:dPt>
            <c:idx val="7"/>
            <c:invertIfNegative val="0"/>
            <c:bubble3D val="0"/>
            <c:spPr>
              <a:solidFill>
                <a:schemeClr val="accent2">
                  <a:lumMod val="60000"/>
                </a:schemeClr>
              </a:solidFill>
              <a:ln>
                <a:noFill/>
              </a:ln>
              <a:effectLst/>
            </c:spPr>
          </c:dPt>
          <c:dPt>
            <c:idx val="8"/>
            <c:invertIfNegative val="0"/>
            <c:bubble3D val="0"/>
            <c:spPr>
              <a:solidFill>
                <a:schemeClr val="accent3">
                  <a:lumMod val="60000"/>
                </a:schemeClr>
              </a:solidFill>
              <a:ln>
                <a:noFill/>
              </a:ln>
              <a:effectLst/>
            </c:spPr>
          </c:dPt>
          <c:dPt>
            <c:idx val="9"/>
            <c:invertIfNegative val="0"/>
            <c:bubble3D val="0"/>
            <c:spPr>
              <a:solidFill>
                <a:schemeClr val="accent4">
                  <a:lumMod val="60000"/>
                </a:schemeClr>
              </a:solidFill>
              <a:ln>
                <a:noFill/>
              </a:ln>
              <a:effectLst/>
            </c:spPr>
          </c:dPt>
          <c:dPt>
            <c:idx val="10"/>
            <c:invertIfNegative val="0"/>
            <c:bubble3D val="0"/>
            <c:spPr>
              <a:solidFill>
                <a:schemeClr val="accent5">
                  <a:lumMod val="60000"/>
                </a:schemeClr>
              </a:solidFill>
              <a:ln>
                <a:noFill/>
              </a:ln>
              <a:effectLst/>
            </c:spPr>
          </c:dPt>
          <c:dPt>
            <c:idx val="11"/>
            <c:invertIfNegative val="0"/>
            <c:bubble3D val="0"/>
            <c:spPr>
              <a:solidFill>
                <a:schemeClr val="accent6">
                  <a:lumMod val="60000"/>
                </a:schemeClr>
              </a:solidFill>
              <a:ln>
                <a:noFill/>
              </a:ln>
              <a:effectLst/>
            </c:spPr>
          </c:dPt>
          <c:dPt>
            <c:idx val="12"/>
            <c:invertIfNegative val="0"/>
            <c:bubble3D val="0"/>
            <c:spPr>
              <a:solidFill>
                <a:schemeClr val="accent1">
                  <a:lumMod val="80000"/>
                  <a:lumOff val="20000"/>
                </a:schemeClr>
              </a:solidFill>
              <a:ln>
                <a:noFill/>
              </a:ln>
              <a:effectLst/>
            </c:spPr>
          </c:dPt>
          <c:dPt>
            <c:idx val="13"/>
            <c:invertIfNegative val="0"/>
            <c:bubble3D val="0"/>
            <c:spPr>
              <a:solidFill>
                <a:schemeClr val="accent2">
                  <a:lumMod val="80000"/>
                  <a:lumOff val="20000"/>
                </a:schemeClr>
              </a:solidFill>
              <a:ln>
                <a:noFill/>
              </a:ln>
              <a:effectLst/>
            </c:spPr>
          </c:dPt>
          <c:dPt>
            <c:idx val="14"/>
            <c:invertIfNegative val="0"/>
            <c:bubble3D val="0"/>
            <c:spPr>
              <a:solidFill>
                <a:schemeClr val="accent3">
                  <a:lumMod val="80000"/>
                  <a:lumOff val="20000"/>
                </a:schemeClr>
              </a:solidFill>
              <a:ln>
                <a:noFill/>
              </a:ln>
              <a:effectLst/>
            </c:spPr>
          </c:dPt>
          <c:dPt>
            <c:idx val="15"/>
            <c:invertIfNegative val="0"/>
            <c:bubble3D val="0"/>
            <c:spPr>
              <a:solidFill>
                <a:schemeClr val="accent4">
                  <a:lumMod val="80000"/>
                  <a:lumOff val="20000"/>
                </a:schemeClr>
              </a:solidFill>
              <a:ln>
                <a:noFill/>
              </a:ln>
              <a:effectLst/>
            </c:spPr>
          </c:dPt>
          <c:dLbls>
            <c:delete val="1"/>
          </c:dLbls>
          <c:cat>
            <c:strRef>
              <c:f>企业收入!$H$2:$H$17</c:f>
              <c:strCache>
                <c:ptCount val="16"/>
                <c:pt idx="0">
                  <c:v>METTLER TOLEDO</c:v>
                </c:pt>
                <c:pt idx="1">
                  <c:v>Minebea Intec</c:v>
                </c:pt>
                <c:pt idx="2">
                  <c:v>A&amp;D</c:v>
                </c:pt>
                <c:pt idx="3">
                  <c:v>Kern &amp; Sohn</c:v>
                </c:pt>
                <c:pt idx="4">
                  <c:v>Ohaus</c:v>
                </c:pt>
                <c:pt idx="5">
                  <c:v>T-Scale</c:v>
                </c:pt>
                <c:pt idx="6">
                  <c:v>Rice Lake Weighing Systems</c:v>
                </c:pt>
                <c:pt idx="7">
                  <c:v>Gram Group</c:v>
                </c:pt>
                <c:pt idx="8">
                  <c:v>广东香山衡器集团</c:v>
                </c:pt>
                <c:pt idx="9">
                  <c:v>CAS Corporation</c:v>
                </c:pt>
                <c:pt idx="10">
                  <c:v>PCE Instruments</c:v>
                </c:pt>
                <c:pt idx="11">
                  <c:v>Soehnle Industrial Solutions</c:v>
                </c:pt>
                <c:pt idx="12">
                  <c:v>Essae-Teraoka</c:v>
                </c:pt>
                <c:pt idx="13">
                  <c:v>浙江霸王</c:v>
                </c:pt>
                <c:pt idx="14">
                  <c:v>Nuweigh</c:v>
                </c:pt>
                <c:pt idx="15">
                  <c:v>BAYKON</c:v>
                </c:pt>
              </c:strCache>
            </c:strRef>
          </c:cat>
          <c:val>
            <c:numRef>
              <c:f>企业收入!$I$2:$I$17</c:f>
              <c:numCache>
                <c:formatCode>0.0%</c:formatCode>
                <c:ptCount val="16"/>
                <c:pt idx="0">
                  <c:v>0.161478863667256</c:v>
                </c:pt>
                <c:pt idx="1">
                  <c:v>0.0887590050292239</c:v>
                </c:pt>
                <c:pt idx="2">
                  <c:v>0.0700013592496942</c:v>
                </c:pt>
                <c:pt idx="3">
                  <c:v>0.0558651624303385</c:v>
                </c:pt>
                <c:pt idx="4">
                  <c:v>0.0482533641429931</c:v>
                </c:pt>
                <c:pt idx="5">
                  <c:v>0.0294957183634634</c:v>
                </c:pt>
                <c:pt idx="6">
                  <c:v>0.027592768791627</c:v>
                </c:pt>
                <c:pt idx="7">
                  <c:v>0.0259616691586244</c:v>
                </c:pt>
                <c:pt idx="8">
                  <c:v>0.0237868696479543</c:v>
                </c:pt>
                <c:pt idx="9">
                  <c:v>0.0212042952290336</c:v>
                </c:pt>
                <c:pt idx="10">
                  <c:v>0.0184857958406959</c:v>
                </c:pt>
                <c:pt idx="11">
                  <c:v>0.0183498708712791</c:v>
                </c:pt>
                <c:pt idx="12">
                  <c:v>0.0140002718499388</c:v>
                </c:pt>
                <c:pt idx="13">
                  <c:v>0.0104662226450999</c:v>
                </c:pt>
                <c:pt idx="14">
                  <c:v>0.010330297675683</c:v>
                </c:pt>
                <c:pt idx="15">
                  <c:v>0.00666032350142721</c:v>
                </c:pt>
              </c:numCache>
            </c:numRef>
          </c:val>
        </c:ser>
        <c:dLbls>
          <c:showLegendKey val="0"/>
          <c:showVal val="0"/>
          <c:showCatName val="0"/>
          <c:showSerName val="0"/>
          <c:showPercent val="0"/>
          <c:showBubbleSize val="0"/>
        </c:dLbls>
        <c:gapWidth val="45"/>
        <c:axId val="1272139183"/>
        <c:axId val="1326546959"/>
      </c:barChart>
      <c:catAx>
        <c:axId val="1272139183"/>
        <c:scaling>
          <c:orientation val="maxMin"/>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宋体" panose="02010600030101010101" charset="-122"/>
                <a:cs typeface="+mn-cs"/>
              </a:defRPr>
            </a:pPr>
          </a:p>
        </c:txPr>
        <c:crossAx val="1326546959"/>
        <c:crosses val="autoZero"/>
        <c:auto val="1"/>
        <c:lblAlgn val="ctr"/>
        <c:lblOffset val="100"/>
        <c:noMultiLvlLbl val="0"/>
      </c:catAx>
      <c:valAx>
        <c:axId val="1326546959"/>
        <c:scaling>
          <c:orientation val="minMax"/>
        </c:scaling>
        <c:delete val="0"/>
        <c:axPos val="t"/>
        <c:majorGridlines>
          <c:spPr>
            <a:ln w="9525" cap="flat" cmpd="sng" algn="ctr">
              <a:noFill/>
              <a:round/>
            </a:ln>
            <a:effectLst/>
          </c:spPr>
        </c:majorGridlines>
        <c:numFmt formatCode="0.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宋体" panose="02010600030101010101" charset="-122"/>
                <a:cs typeface="+mn-cs"/>
              </a:defRPr>
            </a:pPr>
          </a:p>
        </c:txPr>
        <c:crossAx val="1272139183"/>
        <c:crosses val="autoZero"/>
        <c:crossBetween val="between"/>
      </c:valAx>
      <c:spPr>
        <a:noFill/>
        <a:ln>
          <a:noFill/>
        </a:ln>
        <a:effectLst/>
      </c:spPr>
    </c:plotArea>
    <c:plotVisOnly val="1"/>
    <c:dispBlanksAs val="gap"/>
    <c:showDLblsOverMax val="0"/>
    <c:extLst>
      <c:ext uri="{0b15fc19-7d7d-44ad-8c2d-2c3a37ce22c3}">
        <chartProps xmlns="https://web.wps.cn/et/2018/main" chartId="{285cd491-722a-4575-a966-f52475749b64}"/>
      </c:ext>
    </c:extLst>
  </c:chart>
  <c:spPr>
    <a:solidFill>
      <a:schemeClr val="bg1"/>
    </a:solidFill>
    <a:ln w="9525" cap="flat" cmpd="sng" algn="ctr">
      <a:noFill/>
      <a:round/>
    </a:ln>
    <a:effectLst/>
  </c:spPr>
  <c:txPr>
    <a:bodyPr/>
    <a:lstStyle/>
    <a:p>
      <a:pPr>
        <a:defRPr lang="zh-CN" baseline="0">
          <a:latin typeface="Times New Roman" panose="02020603050405020304" charset="0"/>
          <a:ea typeface="宋体" panose="02010600030101010101" charset="-122"/>
        </a:defRPr>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分类!$R$2</c:f>
              <c:strCache>
                <c:ptCount val="1"/>
                <c:pt idx="0">
                  <c:v>承重能力&lt;10 kg</c:v>
                </c:pt>
              </c:strCache>
            </c:strRef>
          </c:tx>
          <c:spPr>
            <a:solidFill>
              <a:srgbClr val="002060"/>
            </a:solidFill>
            <a:ln>
              <a:noFill/>
            </a:ln>
            <a:effectLst/>
          </c:spPr>
          <c:invertIfNegative val="0"/>
          <c:dLbls>
            <c:delete val="1"/>
          </c:dLbls>
          <c:cat>
            <c:numRef>
              <c:f>分类!$S$1:$AD$1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分类!$S$2:$AD$2</c:f>
              <c:numCache>
                <c:formatCode>0.0%</c:formatCode>
                <c:ptCount val="12"/>
                <c:pt idx="0">
                  <c:v>0.415113017653853</c:v>
                </c:pt>
                <c:pt idx="1">
                  <c:v>0.410475598383587</c:v>
                </c:pt>
                <c:pt idx="2">
                  <c:v>0.419819267881758</c:v>
                </c:pt>
                <c:pt idx="3">
                  <c:v>0.40040386557046</c:v>
                </c:pt>
                <c:pt idx="4">
                  <c:v>0.404240859045807</c:v>
                </c:pt>
                <c:pt idx="5">
                  <c:v>0.40156862745098</c:v>
                </c:pt>
                <c:pt idx="6">
                  <c:v>0.397437507850772</c:v>
                </c:pt>
                <c:pt idx="7">
                  <c:v>0.387124048798164</c:v>
                </c:pt>
                <c:pt idx="8">
                  <c:v>0.401166050005606</c:v>
                </c:pt>
                <c:pt idx="9">
                  <c:v>0.39154392285684</c:v>
                </c:pt>
                <c:pt idx="10">
                  <c:v>0.392431260471075</c:v>
                </c:pt>
                <c:pt idx="11">
                  <c:v>0.392937853107345</c:v>
                </c:pt>
              </c:numCache>
            </c:numRef>
          </c:val>
        </c:ser>
        <c:ser>
          <c:idx val="1"/>
          <c:order val="1"/>
          <c:tx>
            <c:strRef>
              <c:f>分类!$R$3</c:f>
              <c:strCache>
                <c:ptCount val="1"/>
                <c:pt idx="0">
                  <c:v>承重能力 10 kg-30 kg</c:v>
                </c:pt>
              </c:strCache>
            </c:strRef>
          </c:tx>
          <c:spPr>
            <a:solidFill>
              <a:schemeClr val="bg1">
                <a:lumMod val="50000"/>
              </a:schemeClr>
            </a:solidFill>
            <a:ln>
              <a:noFill/>
            </a:ln>
            <a:effectLst/>
          </c:spPr>
          <c:invertIfNegative val="0"/>
          <c:dLbls>
            <c:delete val="1"/>
          </c:dLbls>
          <c:cat>
            <c:numRef>
              <c:f>分类!$S$1:$AD$1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分类!$S$3:$AD$3</c:f>
              <c:numCache>
                <c:formatCode>0.0%</c:formatCode>
                <c:ptCount val="12"/>
                <c:pt idx="0">
                  <c:v>0.45933014354067</c:v>
                </c:pt>
                <c:pt idx="1">
                  <c:v>0.464718682001865</c:v>
                </c:pt>
                <c:pt idx="2">
                  <c:v>0.456118854342166</c:v>
                </c:pt>
                <c:pt idx="3">
                  <c:v>0.476128660031732</c:v>
                </c:pt>
                <c:pt idx="4">
                  <c:v>0.473426668479</c:v>
                </c:pt>
                <c:pt idx="5">
                  <c:v>0.478954248366013</c:v>
                </c:pt>
                <c:pt idx="6">
                  <c:v>0.484486873508353</c:v>
                </c:pt>
                <c:pt idx="7">
                  <c:v>0.493175504287958</c:v>
                </c:pt>
                <c:pt idx="8">
                  <c:v>0.482453189819487</c:v>
                </c:pt>
                <c:pt idx="9">
                  <c:v>0.492105542015471</c:v>
                </c:pt>
                <c:pt idx="10">
                  <c:v>0.492953582339608</c:v>
                </c:pt>
                <c:pt idx="11">
                  <c:v>0.493691148775895</c:v>
                </c:pt>
              </c:numCache>
            </c:numRef>
          </c:val>
        </c:ser>
        <c:ser>
          <c:idx val="2"/>
          <c:order val="2"/>
          <c:tx>
            <c:strRef>
              <c:f>分类!$R$4</c:f>
              <c:strCache>
                <c:ptCount val="1"/>
                <c:pt idx="0">
                  <c:v>承重能力 &gt;30 kg</c:v>
                </c:pt>
              </c:strCache>
            </c:strRef>
          </c:tx>
          <c:spPr>
            <a:solidFill>
              <a:schemeClr val="accent3"/>
            </a:solidFill>
            <a:ln>
              <a:noFill/>
            </a:ln>
            <a:effectLst/>
          </c:spPr>
          <c:invertIfNegative val="0"/>
          <c:dLbls>
            <c:delete val="1"/>
          </c:dLbls>
          <c:cat>
            <c:numRef>
              <c:f>分类!$S$1:$AD$1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分类!$S$4:$AD$4</c:f>
              <c:numCache>
                <c:formatCode>0.0%</c:formatCode>
                <c:ptCount val="12"/>
                <c:pt idx="0">
                  <c:v>0.125556838805478</c:v>
                </c:pt>
                <c:pt idx="1">
                  <c:v>0.124805719614548</c:v>
                </c:pt>
                <c:pt idx="2">
                  <c:v>0.124061877776076</c:v>
                </c:pt>
                <c:pt idx="3">
                  <c:v>0.123467474397808</c:v>
                </c:pt>
                <c:pt idx="4">
                  <c:v>0.122332472475194</c:v>
                </c:pt>
                <c:pt idx="5">
                  <c:v>0.119477124183007</c:v>
                </c:pt>
                <c:pt idx="6">
                  <c:v>0.118075618640874</c:v>
                </c:pt>
                <c:pt idx="7">
                  <c:v>0.119700446913879</c:v>
                </c:pt>
                <c:pt idx="8">
                  <c:v>0.116380760174908</c:v>
                </c:pt>
                <c:pt idx="9">
                  <c:v>0.116350535127689</c:v>
                </c:pt>
                <c:pt idx="10">
                  <c:v>0.114615157189317</c:v>
                </c:pt>
                <c:pt idx="11">
                  <c:v>0.113370998116761</c:v>
                </c:pt>
              </c:numCache>
            </c:numRef>
          </c:val>
        </c:ser>
        <c:dLbls>
          <c:showLegendKey val="0"/>
          <c:showVal val="0"/>
          <c:showCatName val="0"/>
          <c:showSerName val="0"/>
          <c:showPercent val="0"/>
          <c:showBubbleSize val="0"/>
        </c:dLbls>
        <c:gapWidth val="45"/>
        <c:overlap val="100"/>
        <c:axId val="1897692240"/>
        <c:axId val="1897707216"/>
      </c:barChart>
      <c:catAx>
        <c:axId val="189769224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897707216"/>
        <c:crosses val="autoZero"/>
        <c:auto val="1"/>
        <c:lblAlgn val="ctr"/>
        <c:lblOffset val="100"/>
        <c:noMultiLvlLbl val="0"/>
      </c:catAx>
      <c:valAx>
        <c:axId val="1897707216"/>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897692240"/>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extLst>
      <c:ext uri="{0b15fc19-7d7d-44ad-8c2d-2c3a37ce22c3}">
        <chartProps xmlns="https://web.wps.cn/et/2018/main" chartId="{d2b11594-f1ec-4d33-a0c8-02cee25e02f1}"/>
      </c:ext>
    </c:extLst>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691853448275862"/>
          <c:y val="0.03175"/>
          <c:w val="0.897009594053696"/>
          <c:h val="0.755441666666667"/>
        </c:manualLayout>
      </c:layout>
      <c:barChart>
        <c:barDir val="col"/>
        <c:grouping val="stacked"/>
        <c:varyColors val="0"/>
        <c:ser>
          <c:idx val="0"/>
          <c:order val="0"/>
          <c:tx>
            <c:strRef>
              <c:f>应用!$A$2</c:f>
              <c:strCache>
                <c:ptCount val="1"/>
                <c:pt idx="0">
                  <c:v>食品行业</c:v>
                </c:pt>
              </c:strCache>
            </c:strRef>
          </c:tx>
          <c:spPr>
            <a:solidFill>
              <a:srgbClr val="002060"/>
            </a:solidFill>
            <a:ln>
              <a:noFill/>
            </a:ln>
            <a:effectLst/>
          </c:spPr>
          <c:invertIfNegative val="0"/>
          <c:dLbls>
            <c:delete val="1"/>
          </c:dLbls>
          <c:cat>
            <c:numRef>
              <c:f>应用!$B$1:$M$1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应用!$B$2:$M$2</c:f>
              <c:numCache>
                <c:formatCode>#,##0_);[Red]\(#,##0\)</c:formatCode>
                <c:ptCount val="12"/>
                <c:pt idx="0">
                  <c:v>15.68</c:v>
                </c:pt>
                <c:pt idx="1">
                  <c:v>16.86</c:v>
                </c:pt>
                <c:pt idx="2">
                  <c:v>17.25</c:v>
                </c:pt>
                <c:pt idx="3">
                  <c:v>18.12</c:v>
                </c:pt>
                <c:pt idx="4">
                  <c:v>19.08</c:v>
                </c:pt>
                <c:pt idx="5">
                  <c:v>19.93</c:v>
                </c:pt>
                <c:pt idx="6">
                  <c:v>20.85</c:v>
                </c:pt>
                <c:pt idx="7">
                  <c:v>21.12</c:v>
                </c:pt>
                <c:pt idx="8">
                  <c:v>22.65</c:v>
                </c:pt>
                <c:pt idx="9">
                  <c:v>24.07</c:v>
                </c:pt>
                <c:pt idx="10">
                  <c:v>25.66</c:v>
                </c:pt>
                <c:pt idx="11">
                  <c:v>26.39</c:v>
                </c:pt>
              </c:numCache>
            </c:numRef>
          </c:val>
        </c:ser>
        <c:ser>
          <c:idx val="1"/>
          <c:order val="1"/>
          <c:tx>
            <c:strRef>
              <c:f>应用!$A$3</c:f>
              <c:strCache>
                <c:ptCount val="1"/>
                <c:pt idx="0">
                  <c:v>制药行业</c:v>
                </c:pt>
              </c:strCache>
            </c:strRef>
          </c:tx>
          <c:spPr>
            <a:solidFill>
              <a:schemeClr val="bg1">
                <a:lumMod val="50000"/>
              </a:schemeClr>
            </a:solidFill>
            <a:ln>
              <a:noFill/>
            </a:ln>
            <a:effectLst/>
          </c:spPr>
          <c:invertIfNegative val="0"/>
          <c:dLbls>
            <c:delete val="1"/>
          </c:dLbls>
          <c:cat>
            <c:numRef>
              <c:f>应用!$B$1:$M$1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应用!$B$3:$M$3</c:f>
              <c:numCache>
                <c:formatCode>#,##0_);[Red]\(#,##0\)</c:formatCode>
                <c:ptCount val="12"/>
                <c:pt idx="0">
                  <c:v>11.8</c:v>
                </c:pt>
                <c:pt idx="1">
                  <c:v>12.75</c:v>
                </c:pt>
                <c:pt idx="2">
                  <c:v>12.88</c:v>
                </c:pt>
                <c:pt idx="3">
                  <c:v>13.76</c:v>
                </c:pt>
                <c:pt idx="4">
                  <c:v>14.82</c:v>
                </c:pt>
                <c:pt idx="5">
                  <c:v>15.42</c:v>
                </c:pt>
                <c:pt idx="6">
                  <c:v>15.98</c:v>
                </c:pt>
                <c:pt idx="7">
                  <c:v>16.9</c:v>
                </c:pt>
                <c:pt idx="8">
                  <c:v>18.69</c:v>
                </c:pt>
                <c:pt idx="9">
                  <c:v>19.94</c:v>
                </c:pt>
                <c:pt idx="10">
                  <c:v>21.77</c:v>
                </c:pt>
                <c:pt idx="11">
                  <c:v>23.26</c:v>
                </c:pt>
              </c:numCache>
            </c:numRef>
          </c:val>
        </c:ser>
        <c:ser>
          <c:idx val="2"/>
          <c:order val="2"/>
          <c:tx>
            <c:strRef>
              <c:f>应用!$A$4</c:f>
              <c:strCache>
                <c:ptCount val="1"/>
                <c:pt idx="0">
                  <c:v>化工行业</c:v>
                </c:pt>
              </c:strCache>
            </c:strRef>
          </c:tx>
          <c:spPr>
            <a:solidFill>
              <a:schemeClr val="accent3"/>
            </a:solidFill>
            <a:ln>
              <a:noFill/>
            </a:ln>
            <a:effectLst/>
          </c:spPr>
          <c:invertIfNegative val="0"/>
          <c:dLbls>
            <c:delete val="1"/>
          </c:dLbls>
          <c:cat>
            <c:numRef>
              <c:f>应用!$B$1:$M$1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应用!$B$4:$M$4</c:f>
              <c:numCache>
                <c:formatCode>#,##0_);[Red]\(#,##0\)</c:formatCode>
                <c:ptCount val="12"/>
                <c:pt idx="0">
                  <c:v>11.16</c:v>
                </c:pt>
                <c:pt idx="1">
                  <c:v>11.63</c:v>
                </c:pt>
                <c:pt idx="2">
                  <c:v>11.75</c:v>
                </c:pt>
                <c:pt idx="3">
                  <c:v>12.56</c:v>
                </c:pt>
                <c:pt idx="4">
                  <c:v>13.04</c:v>
                </c:pt>
                <c:pt idx="5">
                  <c:v>13.61</c:v>
                </c:pt>
                <c:pt idx="6">
                  <c:v>14.11</c:v>
                </c:pt>
                <c:pt idx="7">
                  <c:v>14.7</c:v>
                </c:pt>
                <c:pt idx="8">
                  <c:v>15.47</c:v>
                </c:pt>
                <c:pt idx="9">
                  <c:v>15.98</c:v>
                </c:pt>
                <c:pt idx="10">
                  <c:v>16.8</c:v>
                </c:pt>
                <c:pt idx="11">
                  <c:v>17.33</c:v>
                </c:pt>
              </c:numCache>
            </c:numRef>
          </c:val>
        </c:ser>
        <c:ser>
          <c:idx val="3"/>
          <c:order val="3"/>
          <c:tx>
            <c:strRef>
              <c:f>应用!$A$5</c:f>
              <c:strCache>
                <c:ptCount val="1"/>
                <c:pt idx="0">
                  <c:v>电子行业</c:v>
                </c:pt>
              </c:strCache>
            </c:strRef>
          </c:tx>
          <c:spPr>
            <a:solidFill>
              <a:schemeClr val="accent4"/>
            </a:solidFill>
            <a:ln>
              <a:noFill/>
            </a:ln>
            <a:effectLst/>
          </c:spPr>
          <c:invertIfNegative val="0"/>
          <c:dLbls>
            <c:delete val="1"/>
          </c:dLbls>
          <c:cat>
            <c:numRef>
              <c:f>应用!$B$1:$M$1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应用!$B$5:$M$5</c:f>
              <c:numCache>
                <c:formatCode>#,##0_);[Red]\(#,##0\)</c:formatCode>
                <c:ptCount val="12"/>
                <c:pt idx="0">
                  <c:v>4.6</c:v>
                </c:pt>
                <c:pt idx="1">
                  <c:v>4.86</c:v>
                </c:pt>
                <c:pt idx="2">
                  <c:v>5.04</c:v>
                </c:pt>
                <c:pt idx="3">
                  <c:v>5.47</c:v>
                </c:pt>
                <c:pt idx="4">
                  <c:v>5.8</c:v>
                </c:pt>
                <c:pt idx="5">
                  <c:v>6.16</c:v>
                </c:pt>
                <c:pt idx="6">
                  <c:v>6.5</c:v>
                </c:pt>
                <c:pt idx="7">
                  <c:v>6.8</c:v>
                </c:pt>
                <c:pt idx="8">
                  <c:v>7.41</c:v>
                </c:pt>
                <c:pt idx="9">
                  <c:v>7.96</c:v>
                </c:pt>
                <c:pt idx="10">
                  <c:v>8.66</c:v>
                </c:pt>
                <c:pt idx="11">
                  <c:v>9.25</c:v>
                </c:pt>
              </c:numCache>
            </c:numRef>
          </c:val>
        </c:ser>
        <c:ser>
          <c:idx val="4"/>
          <c:order val="4"/>
          <c:tx>
            <c:strRef>
              <c:f>应用!$A$6</c:f>
              <c:strCache>
                <c:ptCount val="1"/>
                <c:pt idx="0">
                  <c:v>运输与物流</c:v>
                </c:pt>
              </c:strCache>
            </c:strRef>
          </c:tx>
          <c:spPr>
            <a:solidFill>
              <a:schemeClr val="accent5"/>
            </a:solidFill>
            <a:ln>
              <a:noFill/>
            </a:ln>
            <a:effectLst/>
          </c:spPr>
          <c:invertIfNegative val="0"/>
          <c:dLbls>
            <c:delete val="1"/>
          </c:dLbls>
          <c:cat>
            <c:numRef>
              <c:f>应用!$B$1:$M$1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应用!$B$6:$M$6</c:f>
              <c:numCache>
                <c:formatCode>#,##0_);[Red]\(#,##0\)</c:formatCode>
                <c:ptCount val="12"/>
                <c:pt idx="0">
                  <c:v>7.02</c:v>
                </c:pt>
                <c:pt idx="1">
                  <c:v>7.39</c:v>
                </c:pt>
                <c:pt idx="2">
                  <c:v>7.54</c:v>
                </c:pt>
                <c:pt idx="3">
                  <c:v>7.93</c:v>
                </c:pt>
                <c:pt idx="4">
                  <c:v>8.53</c:v>
                </c:pt>
                <c:pt idx="5">
                  <c:v>8.8</c:v>
                </c:pt>
                <c:pt idx="6">
                  <c:v>9.16</c:v>
                </c:pt>
                <c:pt idx="7">
                  <c:v>9.55</c:v>
                </c:pt>
                <c:pt idx="8">
                  <c:v>10.25</c:v>
                </c:pt>
                <c:pt idx="9">
                  <c:v>11.04</c:v>
                </c:pt>
                <c:pt idx="10">
                  <c:v>11.93</c:v>
                </c:pt>
                <c:pt idx="11">
                  <c:v>12.69</c:v>
                </c:pt>
              </c:numCache>
            </c:numRef>
          </c:val>
        </c:ser>
        <c:ser>
          <c:idx val="5"/>
          <c:order val="5"/>
          <c:tx>
            <c:strRef>
              <c:f>应用!$A$7</c:f>
              <c:strCache>
                <c:ptCount val="1"/>
                <c:pt idx="0">
                  <c:v>其他</c:v>
                </c:pt>
              </c:strCache>
            </c:strRef>
          </c:tx>
          <c:spPr>
            <a:solidFill>
              <a:schemeClr val="accent6"/>
            </a:solidFill>
            <a:ln>
              <a:noFill/>
            </a:ln>
            <a:effectLst/>
          </c:spPr>
          <c:invertIfNegative val="0"/>
          <c:dLbls>
            <c:delete val="1"/>
          </c:dLbls>
          <c:cat>
            <c:numRef>
              <c:f>应用!$B$1:$M$1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应用!$B$7:$M$7</c:f>
              <c:numCache>
                <c:formatCode>#,##0_);[Red]\(#,##0\)</c:formatCode>
                <c:ptCount val="12"/>
                <c:pt idx="0">
                  <c:v>10.35</c:v>
                </c:pt>
                <c:pt idx="1">
                  <c:v>10.85</c:v>
                </c:pt>
                <c:pt idx="2">
                  <c:v>10.83</c:v>
                </c:pt>
                <c:pt idx="3">
                  <c:v>11.49</c:v>
                </c:pt>
                <c:pt idx="4">
                  <c:v>12.3</c:v>
                </c:pt>
                <c:pt idx="5">
                  <c:v>12.58</c:v>
                </c:pt>
                <c:pt idx="6">
                  <c:v>13.01</c:v>
                </c:pt>
                <c:pt idx="7">
                  <c:v>13.72</c:v>
                </c:pt>
                <c:pt idx="8">
                  <c:v>14.72</c:v>
                </c:pt>
                <c:pt idx="9">
                  <c:v>15.38</c:v>
                </c:pt>
                <c:pt idx="10">
                  <c:v>16.65</c:v>
                </c:pt>
                <c:pt idx="11">
                  <c:v>17.28</c:v>
                </c:pt>
              </c:numCache>
            </c:numRef>
          </c:val>
        </c:ser>
        <c:dLbls>
          <c:showLegendKey val="0"/>
          <c:showVal val="0"/>
          <c:showCatName val="0"/>
          <c:showSerName val="0"/>
          <c:showPercent val="0"/>
          <c:showBubbleSize val="0"/>
        </c:dLbls>
        <c:gapWidth val="25"/>
        <c:overlap val="100"/>
        <c:axId val="2101581920"/>
        <c:axId val="2101559456"/>
      </c:barChart>
      <c:catAx>
        <c:axId val="210158192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101559456"/>
        <c:crosses val="autoZero"/>
        <c:auto val="1"/>
        <c:lblAlgn val="ctr"/>
        <c:lblOffset val="100"/>
        <c:noMultiLvlLbl val="0"/>
      </c:catAx>
      <c:valAx>
        <c:axId val="2101559456"/>
        <c:scaling>
          <c:orientation val="minMax"/>
        </c:scaling>
        <c:delete val="0"/>
        <c:axPos val="l"/>
        <c:majorGridlines>
          <c:spPr>
            <a:ln w="9525" cap="flat" cmpd="sng" algn="ctr">
              <a:noFill/>
              <a:round/>
            </a:ln>
            <a:effectLst/>
          </c:spPr>
        </c:majorGridlines>
        <c:numFmt formatCode="#,##0_);[Red]\(#,##0\)"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2101581920"/>
        <c:crosses val="autoZero"/>
        <c:crossBetween val="between"/>
      </c:valAx>
      <c:spPr>
        <a:noFill/>
        <a:ln>
          <a:noFill/>
        </a:ln>
        <a:effectLst/>
      </c:spPr>
    </c:plotArea>
    <c:legend>
      <c:legendPos val="b"/>
      <c:layout>
        <c:manualLayout>
          <c:xMode val="edge"/>
          <c:yMode val="edge"/>
          <c:x val="0.0695485312899106"/>
          <c:y val="0.865502222222222"/>
          <c:w val="0.9"/>
          <c:h val="0.0658464052287582"/>
        </c:manualLayout>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extLst>
      <c:ext uri="{0b15fc19-7d7d-44ad-8c2d-2c3a37ce22c3}">
        <chartProps xmlns="https://web.wps.cn/et/2018/main" chartId="{e7c53941-b09a-4f01-962f-54ec2bf50845}"/>
      </c:ext>
    </c:extLst>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Book Antiqua" panose="02040602050305030304" pitchFamily="1" charset="0"/>
                <a:ea typeface="+mn-ea"/>
                <a:cs typeface="+mn-cs"/>
              </a:defRPr>
            </a:pPr>
            <a:r>
              <a:rPr lang="en-US" altLang="zh-CN" sz="1200">
                <a:latin typeface="Book Antiqua" panose="02040602050305030304" pitchFamily="1" charset="0"/>
              </a:rPr>
              <a:t>Market Size By Region, 2019 Vs 2024 VS 2030</a:t>
            </a:r>
            <a:endParaRPr lang="zh-CN" altLang="en-US" sz="1200">
              <a:latin typeface="Book Antiqua" panose="02040602050305030304" pitchFamily="1" charset="0"/>
            </a:endParaRPr>
          </a:p>
        </c:rich>
      </c:tx>
      <c:layout/>
      <c:overlay val="0"/>
      <c:spPr>
        <a:noFill/>
        <a:ln>
          <a:noFill/>
        </a:ln>
        <a:effectLst/>
      </c:spPr>
    </c:title>
    <c:autoTitleDeleted val="0"/>
    <c:plotArea>
      <c:layout/>
      <c:barChart>
        <c:barDir val="col"/>
        <c:grouping val="clustered"/>
        <c:varyColors val="0"/>
        <c:ser>
          <c:idx val="0"/>
          <c:order val="0"/>
          <c:tx>
            <c:strRef>
              <c:f>'地区-生产'!$AE$1</c:f>
              <c:strCache>
                <c:ptCount val="1"/>
                <c:pt idx="0">
                  <c:v>2020</c:v>
                </c:pt>
              </c:strCache>
            </c:strRef>
          </c:tx>
          <c:spPr>
            <a:solidFill>
              <a:srgbClr val="FFC000"/>
            </a:solidFill>
            <a:ln>
              <a:noFill/>
            </a:ln>
            <a:effectLst/>
          </c:spPr>
          <c:invertIfNegative val="0"/>
          <c:dLbls>
            <c:delete val="1"/>
          </c:dLbls>
          <c:cat>
            <c:strRef>
              <c:f>'地区-生产'!$AD$2:$AD$6</c:f>
              <c:strCache>
                <c:ptCount val="5"/>
                <c:pt idx="0">
                  <c:v>北美</c:v>
                </c:pt>
                <c:pt idx="1">
                  <c:v>欧洲</c:v>
                </c:pt>
                <c:pt idx="2">
                  <c:v>中国</c:v>
                </c:pt>
                <c:pt idx="3">
                  <c:v>日本</c:v>
                </c:pt>
                <c:pt idx="4">
                  <c:v>其他</c:v>
                </c:pt>
              </c:strCache>
            </c:strRef>
          </c:cat>
          <c:val>
            <c:numRef>
              <c:f>'地区-生产'!$AE$2:$AE$6</c:f>
              <c:numCache>
                <c:formatCode>#,##0_);[Red]\(#,##0\)</c:formatCode>
                <c:ptCount val="5"/>
                <c:pt idx="0">
                  <c:v>55.54</c:v>
                </c:pt>
                <c:pt idx="1">
                  <c:v>68.92</c:v>
                </c:pt>
                <c:pt idx="2">
                  <c:v>49.3</c:v>
                </c:pt>
                <c:pt idx="3">
                  <c:v>32.19</c:v>
                </c:pt>
                <c:pt idx="4">
                  <c:v>41.32</c:v>
                </c:pt>
              </c:numCache>
            </c:numRef>
          </c:val>
        </c:ser>
        <c:ser>
          <c:idx val="1"/>
          <c:order val="1"/>
          <c:tx>
            <c:strRef>
              <c:f>'地区-生产'!$AF$1</c:f>
              <c:strCache>
                <c:ptCount val="1"/>
                <c:pt idx="0">
                  <c:v>2024</c:v>
                </c:pt>
              </c:strCache>
            </c:strRef>
          </c:tx>
          <c:spPr>
            <a:solidFill>
              <a:schemeClr val="bg1">
                <a:lumMod val="50000"/>
              </a:schemeClr>
            </a:solidFill>
            <a:ln>
              <a:noFill/>
            </a:ln>
            <a:effectLst/>
          </c:spPr>
          <c:invertIfNegative val="0"/>
          <c:dLbls>
            <c:delete val="1"/>
          </c:dLbls>
          <c:cat>
            <c:strRef>
              <c:f>'地区-生产'!$AD$2:$AD$6</c:f>
              <c:strCache>
                <c:ptCount val="5"/>
                <c:pt idx="0">
                  <c:v>北美</c:v>
                </c:pt>
                <c:pt idx="1">
                  <c:v>欧洲</c:v>
                </c:pt>
                <c:pt idx="2">
                  <c:v>中国</c:v>
                </c:pt>
                <c:pt idx="3">
                  <c:v>日本</c:v>
                </c:pt>
                <c:pt idx="4">
                  <c:v>其他</c:v>
                </c:pt>
              </c:strCache>
            </c:strRef>
          </c:cat>
          <c:val>
            <c:numRef>
              <c:f>'地区-生产'!$AF$2:$AF$6</c:f>
              <c:numCache>
                <c:formatCode>#,##0_);[Red]\(#,##0\)</c:formatCode>
                <c:ptCount val="5"/>
                <c:pt idx="0">
                  <c:v>67.65</c:v>
                </c:pt>
                <c:pt idx="1">
                  <c:v>87.78</c:v>
                </c:pt>
                <c:pt idx="2">
                  <c:v>57.93</c:v>
                </c:pt>
                <c:pt idx="3">
                  <c:v>39.11</c:v>
                </c:pt>
                <c:pt idx="4">
                  <c:v>52.07</c:v>
                </c:pt>
              </c:numCache>
            </c:numRef>
          </c:val>
        </c:ser>
        <c:ser>
          <c:idx val="2"/>
          <c:order val="2"/>
          <c:tx>
            <c:strRef>
              <c:f>'地区-生产'!$AG$1</c:f>
              <c:strCache>
                <c:ptCount val="1"/>
                <c:pt idx="0">
                  <c:v>2031</c:v>
                </c:pt>
              </c:strCache>
            </c:strRef>
          </c:tx>
          <c:spPr>
            <a:solidFill>
              <a:srgbClr val="002060"/>
            </a:solidFill>
            <a:ln>
              <a:noFill/>
            </a:ln>
            <a:effectLst/>
          </c:spPr>
          <c:invertIfNegative val="0"/>
          <c:dLbls>
            <c:delete val="1"/>
          </c:dLbls>
          <c:cat>
            <c:strRef>
              <c:f>'地区-生产'!$AD$2:$AD$6</c:f>
              <c:strCache>
                <c:ptCount val="5"/>
                <c:pt idx="0">
                  <c:v>北美</c:v>
                </c:pt>
                <c:pt idx="1">
                  <c:v>欧洲</c:v>
                </c:pt>
                <c:pt idx="2">
                  <c:v>中国</c:v>
                </c:pt>
                <c:pt idx="3">
                  <c:v>日本</c:v>
                </c:pt>
                <c:pt idx="4">
                  <c:v>其他</c:v>
                </c:pt>
              </c:strCache>
            </c:strRef>
          </c:cat>
          <c:val>
            <c:numRef>
              <c:f>'地区-生产'!$AG$2:$AG$6</c:f>
              <c:numCache>
                <c:formatCode>#,##0_);[Red]\(#,##0\)</c:formatCode>
                <c:ptCount val="5"/>
                <c:pt idx="0">
                  <c:v>97.49</c:v>
                </c:pt>
                <c:pt idx="1">
                  <c:v>129.49</c:v>
                </c:pt>
                <c:pt idx="2">
                  <c:v>86.3</c:v>
                </c:pt>
                <c:pt idx="3">
                  <c:v>60.45</c:v>
                </c:pt>
                <c:pt idx="4">
                  <c:v>73.25</c:v>
                </c:pt>
              </c:numCache>
            </c:numRef>
          </c:val>
        </c:ser>
        <c:dLbls>
          <c:showLegendKey val="0"/>
          <c:showVal val="0"/>
          <c:showCatName val="0"/>
          <c:showSerName val="0"/>
          <c:showPercent val="0"/>
          <c:showBubbleSize val="0"/>
        </c:dLbls>
        <c:gapWidth val="75"/>
        <c:axId val="25844928"/>
        <c:axId val="1875643855"/>
      </c:barChart>
      <c:catAx>
        <c:axId val="2584492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1875643855"/>
        <c:crosses val="autoZero"/>
        <c:auto val="1"/>
        <c:lblAlgn val="ctr"/>
        <c:lblOffset val="100"/>
        <c:noMultiLvlLbl val="0"/>
      </c:catAx>
      <c:valAx>
        <c:axId val="1875643855"/>
        <c:scaling>
          <c:orientation val="minMax"/>
        </c:scaling>
        <c:delete val="0"/>
        <c:axPos val="l"/>
        <c:majorGridlines>
          <c:spPr>
            <a:ln w="9525" cap="flat" cmpd="sng" algn="ctr">
              <a:noFill/>
              <a:round/>
            </a:ln>
            <a:effectLst/>
          </c:spPr>
        </c:majorGridlines>
        <c:numFmt formatCode="#,##0_);[Red]\(#,##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25844928"/>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legend>
    <c:plotVisOnly val="1"/>
    <c:dispBlanksAs val="gap"/>
    <c:showDLblsOverMax val="0"/>
    <c:extLst>
      <c:ext uri="{0b15fc19-7d7d-44ad-8c2d-2c3a37ce22c3}">
        <chartProps xmlns="https://web.wps.cn/et/2018/main" chartId="{066935ce-0bc3-4d7d-a2a1-3923f8c32ac4}"/>
      </c:ext>
    </c:extLst>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'地区-消费'!$A$2</c:f>
              <c:strCache>
                <c:ptCount val="1"/>
                <c:pt idx="0">
                  <c:v>北美</c:v>
                </c:pt>
              </c:strCache>
            </c:strRef>
          </c:tx>
          <c:spPr>
            <a:solidFill>
              <a:srgbClr val="002060"/>
            </a:solidFill>
            <a:ln>
              <a:noFill/>
            </a:ln>
            <a:effectLst/>
          </c:spPr>
          <c:invertIfNegative val="0"/>
          <c:dLbls>
            <c:delete val="1"/>
          </c:dLbls>
          <c:cat>
            <c:numRef>
              <c:f>'地区-消费'!$B$1:$M$1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'地区-消费'!$B$2:$M$2</c:f>
              <c:numCache>
                <c:formatCode>#,##0_);[Red]\(#,##0\)</c:formatCode>
                <c:ptCount val="12"/>
                <c:pt idx="0">
                  <c:v>17.3</c:v>
                </c:pt>
                <c:pt idx="1">
                  <c:v>18.73</c:v>
                </c:pt>
                <c:pt idx="2">
                  <c:v>18.69</c:v>
                </c:pt>
                <c:pt idx="3">
                  <c:v>19.69</c:v>
                </c:pt>
                <c:pt idx="4">
                  <c:v>20.4</c:v>
                </c:pt>
                <c:pt idx="5">
                  <c:v>21.93</c:v>
                </c:pt>
                <c:pt idx="6">
                  <c:v>22.22</c:v>
                </c:pt>
                <c:pt idx="7">
                  <c:v>23.84</c:v>
                </c:pt>
                <c:pt idx="8">
                  <c:v>23.92</c:v>
                </c:pt>
                <c:pt idx="9">
                  <c:v>25.62</c:v>
                </c:pt>
                <c:pt idx="10">
                  <c:v>27.4</c:v>
                </c:pt>
                <c:pt idx="11">
                  <c:v>30.19</c:v>
                </c:pt>
              </c:numCache>
            </c:numRef>
          </c:val>
        </c:ser>
        <c:ser>
          <c:idx val="1"/>
          <c:order val="1"/>
          <c:tx>
            <c:strRef>
              <c:f>'地区-消费'!$A$3</c:f>
              <c:strCache>
                <c:ptCount val="1"/>
                <c:pt idx="0">
                  <c:v>欧洲</c:v>
                </c:pt>
              </c:strCache>
            </c:strRef>
          </c:tx>
          <c:spPr>
            <a:solidFill>
              <a:schemeClr val="bg1">
                <a:lumMod val="50000"/>
              </a:schemeClr>
            </a:solidFill>
            <a:ln>
              <a:noFill/>
            </a:ln>
            <a:effectLst/>
          </c:spPr>
          <c:invertIfNegative val="0"/>
          <c:dLbls>
            <c:delete val="1"/>
          </c:dLbls>
          <c:cat>
            <c:numRef>
              <c:f>'地区-消费'!$B$1:$M$1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'地区-消费'!$B$3:$M$3</c:f>
              <c:numCache>
                <c:formatCode>#,##0_);[Red]\(#,##0\)</c:formatCode>
                <c:ptCount val="12"/>
                <c:pt idx="0">
                  <c:v>14.08</c:v>
                </c:pt>
                <c:pt idx="1">
                  <c:v>15.03</c:v>
                </c:pt>
                <c:pt idx="2">
                  <c:v>15.56</c:v>
                </c:pt>
                <c:pt idx="3">
                  <c:v>16.25</c:v>
                </c:pt>
                <c:pt idx="4">
                  <c:v>17.42</c:v>
                </c:pt>
                <c:pt idx="5">
                  <c:v>17.66</c:v>
                </c:pt>
                <c:pt idx="6">
                  <c:v>19.21</c:v>
                </c:pt>
                <c:pt idx="7">
                  <c:v>19.19</c:v>
                </c:pt>
                <c:pt idx="8">
                  <c:v>20.47</c:v>
                </c:pt>
                <c:pt idx="9">
                  <c:v>21.33</c:v>
                </c:pt>
                <c:pt idx="10">
                  <c:v>22.83</c:v>
                </c:pt>
                <c:pt idx="11">
                  <c:v>23.69</c:v>
                </c:pt>
              </c:numCache>
            </c:numRef>
          </c:val>
        </c:ser>
        <c:ser>
          <c:idx val="2"/>
          <c:order val="2"/>
          <c:tx>
            <c:strRef>
              <c:f>'地区-消费'!$A$4</c:f>
              <c:strCache>
                <c:ptCount val="1"/>
                <c:pt idx="0">
                  <c:v>亚太</c:v>
                </c:pt>
              </c:strCache>
            </c:strRef>
          </c:tx>
          <c:spPr>
            <a:solidFill>
              <a:srgbClr val="0070C0"/>
            </a:solidFill>
            <a:ln>
              <a:noFill/>
            </a:ln>
            <a:effectLst/>
          </c:spPr>
          <c:invertIfNegative val="0"/>
          <c:dLbls>
            <c:delete val="1"/>
          </c:dLbls>
          <c:cat>
            <c:numRef>
              <c:f>'地区-消费'!$B$1:$M$1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'地区-消费'!$B$4:$M$4</c:f>
              <c:numCache>
                <c:formatCode>#,##0_);[Red]\(#,##0\)</c:formatCode>
                <c:ptCount val="12"/>
                <c:pt idx="0">
                  <c:v>23.58</c:v>
                </c:pt>
                <c:pt idx="1">
                  <c:v>24.82</c:v>
                </c:pt>
                <c:pt idx="2">
                  <c:v>25.37</c:v>
                </c:pt>
                <c:pt idx="3">
                  <c:v>27.33</c:v>
                </c:pt>
                <c:pt idx="4">
                  <c:v>29.52</c:v>
                </c:pt>
                <c:pt idx="5">
                  <c:v>30.59</c:v>
                </c:pt>
                <c:pt idx="6">
                  <c:v>31.73</c:v>
                </c:pt>
                <c:pt idx="7">
                  <c:v>33.18</c:v>
                </c:pt>
                <c:pt idx="8">
                  <c:v>37.58</c:v>
                </c:pt>
                <c:pt idx="9">
                  <c:v>40</c:v>
                </c:pt>
                <c:pt idx="10">
                  <c:v>43.3</c:v>
                </c:pt>
                <c:pt idx="11">
                  <c:v>44.21</c:v>
                </c:pt>
              </c:numCache>
            </c:numRef>
          </c:val>
        </c:ser>
        <c:ser>
          <c:idx val="3"/>
          <c:order val="3"/>
          <c:tx>
            <c:strRef>
              <c:f>'地区-消费'!$A$5</c:f>
              <c:strCache>
                <c:ptCount val="1"/>
                <c:pt idx="0">
                  <c:v>拉美</c:v>
                </c:pt>
              </c:strCache>
            </c:strRef>
          </c:tx>
          <c:spPr>
            <a:solidFill>
              <a:srgbClr val="FFC000"/>
            </a:solidFill>
            <a:ln>
              <a:noFill/>
            </a:ln>
            <a:effectLst/>
          </c:spPr>
          <c:invertIfNegative val="0"/>
          <c:dLbls>
            <c:delete val="1"/>
          </c:dLbls>
          <c:cat>
            <c:numRef>
              <c:f>'地区-消费'!$B$1:$M$1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'地区-消费'!$B$5:$M$5</c:f>
              <c:numCache>
                <c:formatCode>#,##0_);[Red]\(#,##0\)</c:formatCode>
                <c:ptCount val="12"/>
                <c:pt idx="0">
                  <c:v>2.81</c:v>
                </c:pt>
                <c:pt idx="1">
                  <c:v>2.85</c:v>
                </c:pt>
                <c:pt idx="2">
                  <c:v>2.92</c:v>
                </c:pt>
                <c:pt idx="3">
                  <c:v>3.09</c:v>
                </c:pt>
                <c:pt idx="4">
                  <c:v>3.23</c:v>
                </c:pt>
                <c:pt idx="5">
                  <c:v>3.24</c:v>
                </c:pt>
                <c:pt idx="6">
                  <c:v>3.44</c:v>
                </c:pt>
                <c:pt idx="7">
                  <c:v>3.39</c:v>
                </c:pt>
                <c:pt idx="8">
                  <c:v>3.68</c:v>
                </c:pt>
                <c:pt idx="9">
                  <c:v>3.86</c:v>
                </c:pt>
                <c:pt idx="10">
                  <c:v>4.27</c:v>
                </c:pt>
                <c:pt idx="11">
                  <c:v>4.17</c:v>
                </c:pt>
              </c:numCache>
            </c:numRef>
          </c:val>
        </c:ser>
        <c:ser>
          <c:idx val="4"/>
          <c:order val="4"/>
          <c:tx>
            <c:strRef>
              <c:f>'地区-消费'!$A$6</c:f>
              <c:strCache>
                <c:ptCount val="1"/>
                <c:pt idx="0">
                  <c:v>中东和非洲</c:v>
                </c:pt>
              </c:strCache>
            </c:strRef>
          </c:tx>
          <c:spPr>
            <a:solidFill>
              <a:schemeClr val="tx1">
                <a:lumMod val="65000"/>
                <a:lumOff val="35000"/>
              </a:schemeClr>
            </a:solidFill>
            <a:ln>
              <a:noFill/>
            </a:ln>
            <a:effectLst/>
          </c:spPr>
          <c:invertIfNegative val="0"/>
          <c:dLbls>
            <c:delete val="1"/>
          </c:dLbls>
          <c:cat>
            <c:numRef>
              <c:f>'地区-消费'!$B$1:$M$1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'地区-消费'!$B$6:$M$6</c:f>
              <c:numCache>
                <c:formatCode>#,##0_);[Red]\(#,##0\)</c:formatCode>
                <c:ptCount val="12"/>
                <c:pt idx="0">
                  <c:v>2.84</c:v>
                </c:pt>
                <c:pt idx="1">
                  <c:v>2.91</c:v>
                </c:pt>
                <c:pt idx="2">
                  <c:v>2.75</c:v>
                </c:pt>
                <c:pt idx="3">
                  <c:v>2.97</c:v>
                </c:pt>
                <c:pt idx="4">
                  <c:v>3</c:v>
                </c:pt>
                <c:pt idx="5">
                  <c:v>3.08</c:v>
                </c:pt>
                <c:pt idx="6">
                  <c:v>3.01</c:v>
                </c:pt>
                <c:pt idx="7">
                  <c:v>3.19</c:v>
                </c:pt>
                <c:pt idx="8">
                  <c:v>3.54</c:v>
                </c:pt>
                <c:pt idx="9">
                  <c:v>3.56</c:v>
                </c:pt>
                <c:pt idx="10">
                  <c:v>3.67</c:v>
                </c:pt>
                <c:pt idx="11">
                  <c:v>3.94</c:v>
                </c:pt>
              </c:numCache>
            </c:numRef>
          </c:val>
        </c:ser>
        <c:dLbls>
          <c:showLegendKey val="0"/>
          <c:showVal val="0"/>
          <c:showCatName val="0"/>
          <c:showSerName val="0"/>
          <c:showPercent val="0"/>
          <c:showBubbleSize val="0"/>
        </c:dLbls>
        <c:gapWidth val="45"/>
        <c:overlap val="100"/>
        <c:axId val="1897692240"/>
        <c:axId val="1897707216"/>
      </c:barChart>
      <c:catAx>
        <c:axId val="189769224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897707216"/>
        <c:crosses val="autoZero"/>
        <c:auto val="1"/>
        <c:lblAlgn val="ctr"/>
        <c:lblOffset val="100"/>
        <c:noMultiLvlLbl val="0"/>
      </c:catAx>
      <c:valAx>
        <c:axId val="1897707216"/>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897692240"/>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extLst>
      <c:ext uri="{0b15fc19-7d7d-44ad-8c2d-2c3a37ce22c3}">
        <chartProps xmlns="https://web.wps.cn/et/2018/main" chartId="{821e4054-d8be-49e3-97ed-6b4e3ca3a2c3}"/>
      </c:ext>
    </c:extLst>
  </c:chart>
  <c:spPr>
    <a:solidFill>
      <a:schemeClr val="bg1"/>
    </a:solidFill>
    <a:ln w="9525" cap="flat" cmpd="sng" algn="ctr">
      <a:no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Info spid="_x0000_s2056"/>
    <customShpInfo spid="_x0000_s2055"/>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0A6D89C-AA89-433F-B98B-705F0C86DFFE}">
  <ds:schemaRefs/>
</ds:datastoreItem>
</file>

<file path=docProps/app.xml><?xml version="1.0" encoding="utf-8"?>
<Properties xmlns="http://schemas.openxmlformats.org/officeDocument/2006/extended-properties" xmlns:vt="http://schemas.openxmlformats.org/officeDocument/2006/docPropsVTypes">
  <Template>Normal</Template>
  <Pages>5</Pages>
  <Words>1924</Words>
  <Characters>2254</Characters>
  <Lines>16</Lines>
  <Paragraphs>4</Paragraphs>
  <TotalTime>713</TotalTime>
  <ScaleCrop>false</ScaleCrop>
  <LinksUpToDate>false</LinksUpToDate>
  <CharactersWithSpaces>2293</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鼕鼕</cp:lastModifiedBy>
  <dcterms:modified xsi:type="dcterms:W3CDTF">2025-08-27T07:17:10Z</dcterms:modified>
  <cp:revision>943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eyJoZGlkIjoiMjFmNGNlNTgxMTU0YzBhMjY3NTRmNDcyYjNlZTNhMDciLCJ1c2VySWQiOiI0MzI5MTg4NDMifQ==</vt:lpwstr>
  </property>
  <property fmtid="{D5CDD505-2E9C-101B-9397-08002B2CF9AE}" pid="3" name="KSOProductBuildVer">
    <vt:lpwstr>2052-12.1.0.22529</vt:lpwstr>
  </property>
  <property fmtid="{D5CDD505-2E9C-101B-9397-08002B2CF9AE}" pid="4" name="ICV">
    <vt:lpwstr>4E9115DCB9364946B7534B0FAAC2BE1C_12</vt:lpwstr>
  </property>
</Properties>
</file>