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4A487">
      <w:pPr>
        <w:pStyle w:val="145"/>
        <w:rPr>
          <w:lang w:eastAsia="zh-CN"/>
        </w:rPr>
      </w:pPr>
      <w:bookmarkStart w:id="0" w:name="_Toc517262917"/>
      <w:bookmarkStart w:id="1" w:name="_Toc453597319"/>
      <w:bookmarkStart w:id="2" w:name="OLE_LINK15"/>
      <w:bookmarkStart w:id="3" w:name="_Toc418070112"/>
      <w:bookmarkStart w:id="4" w:name="_Toc415142861"/>
      <w:bookmarkStart w:id="5" w:name="OLE_LINK40"/>
      <w:bookmarkStart w:id="6" w:name="OLE_LINK13"/>
      <w:bookmarkStart w:id="7" w:name="_Toc415818939"/>
      <w:bookmarkStart w:id="8" w:name="_Toc438987549"/>
      <w:bookmarkStart w:id="9" w:name="_Toc481801204"/>
      <w:bookmarkStart w:id="10" w:name="_Toc415143481"/>
      <w:bookmarkStart w:id="11" w:name="OLE_LINK39"/>
      <w:bookmarkStart w:id="12" w:name="OLE_LINK24"/>
      <w:r>
        <w:rPr>
          <w:rFonts w:hint="eastAsia"/>
          <w:lang w:eastAsia="zh-CN"/>
        </w:rPr>
        <w:t>根据QYResearch最新调研报告显示，预计2</w:t>
      </w:r>
      <w:r>
        <w:rPr>
          <w:lang w:eastAsia="zh-CN"/>
        </w:rPr>
        <w:t>031</w:t>
      </w:r>
      <w:r>
        <w:rPr>
          <w:rFonts w:hint="eastAsia"/>
          <w:lang w:eastAsia="zh-CN"/>
        </w:rPr>
        <w:t>年全球</w:t>
      </w:r>
      <w:r>
        <w:rPr>
          <w:lang w:eastAsia="zh-CN"/>
        </w:rPr>
        <w:t>航海模拟器</w:t>
      </w:r>
      <w:r>
        <w:rPr>
          <w:rFonts w:hint="eastAsia"/>
          <w:lang w:eastAsia="zh-CN"/>
        </w:rPr>
        <w:t>市场规模将达到</w:t>
      </w:r>
      <w:r>
        <w:rPr>
          <w:lang w:eastAsia="zh-CN"/>
        </w:rPr>
        <w:t>4.39</w:t>
      </w:r>
      <w:r>
        <w:rPr>
          <w:rFonts w:hint="eastAsia"/>
          <w:lang w:eastAsia="zh-CN"/>
        </w:rPr>
        <w:t>亿美元，未来几年年复合增长率CAGR为</w:t>
      </w:r>
      <w:r>
        <w:rPr>
          <w:lang w:eastAsia="zh-CN"/>
        </w:rPr>
        <w:t>7.9</w:t>
      </w:r>
      <w:r>
        <w:rPr>
          <w:rFonts w:hint="eastAsia"/>
          <w:lang w:eastAsia="zh-CN"/>
        </w:rPr>
        <w:t>%。</w:t>
      </w:r>
    </w:p>
    <w:p w14:paraId="435E3011">
      <w:pPr>
        <w:pStyle w:val="145"/>
        <w:rPr>
          <w:lang w:eastAsia="zh-CN"/>
        </w:rPr>
      </w:pPr>
      <w:r>
        <w:rPr>
          <w:rFonts w:hint="eastAsia"/>
          <w:lang w:eastAsia="zh-CN"/>
        </w:rPr>
        <w:t>海事模拟器是一种专门的训练工具，旨在模拟真实的海事环境和操作。它允许用户（例如船员、港口运营商和海军）练习导航、管理和应对各种海事场景，而无需承担实际操作带来的风险和成本。</w:t>
      </w:r>
    </w:p>
    <w:p w14:paraId="720E31E2">
      <w:pPr>
        <w:pStyle w:val="148"/>
        <w:rPr>
          <w:lang w:eastAsia="zh-CN"/>
        </w:rPr>
      </w:pPr>
      <w:r>
        <w:rPr>
          <w:rFonts w:hint="eastAsia"/>
          <w:lang w:eastAsia="zh-CN"/>
        </w:rPr>
        <w:t>全球</w:t>
      </w:r>
      <w:r>
        <w:rPr>
          <w:lang w:eastAsia="zh-CN"/>
        </w:rPr>
        <w:t>航海模拟器</w:t>
      </w:r>
      <w:r>
        <w:rPr>
          <w:rFonts w:hint="eastAsia"/>
          <w:lang w:eastAsia="zh-CN"/>
        </w:rPr>
        <w:t>市场前</w:t>
      </w:r>
      <w:r>
        <w:rPr>
          <w:lang w:eastAsia="zh-CN"/>
        </w:rPr>
        <w:t>16</w:t>
      </w:r>
      <w:r>
        <w:rPr>
          <w:rFonts w:hint="eastAsia"/>
          <w:lang w:eastAsia="zh-CN"/>
        </w:rPr>
        <w:t>强生产商排名及市场占有率（基于2</w:t>
      </w:r>
      <w:r>
        <w:rPr>
          <w:lang w:eastAsia="zh-CN"/>
        </w:rPr>
        <w:t>024</w:t>
      </w:r>
      <w:r>
        <w:rPr>
          <w:rFonts w:hint="eastAsia"/>
          <w:lang w:eastAsia="zh-CN"/>
        </w:rPr>
        <w:t>年调研数据；目前最新数据以本公司最新调研数据为准）</w:t>
      </w:r>
    </w:p>
    <w:p w14:paraId="04A43543">
      <w:pPr>
        <w:pStyle w:val="143"/>
        <w:rPr>
          <w:lang w:eastAsia="zh-CN"/>
        </w:rPr>
      </w:pPr>
      <w:r>
        <w:drawing>
          <wp:inline distT="0" distB="0" distL="0" distR="0">
            <wp:extent cx="6191885" cy="5991225"/>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Pr>
          <w:rFonts w:hint="eastAsia"/>
          <w:lang w:eastAsia="zh-CN"/>
        </w:rPr>
        <w:t>来源：QYResearch研究中心。行业处于不断变动之中，最新数据请联系QYResearch咨询。</w:t>
      </w:r>
    </w:p>
    <w:p w14:paraId="2A9BFC0B">
      <w:pPr>
        <w:pStyle w:val="145"/>
        <w:rPr>
          <w:lang w:eastAsia="zh-CN"/>
        </w:rPr>
      </w:pPr>
      <w:r>
        <w:rPr>
          <w:rFonts w:hint="eastAsia"/>
          <w:lang w:eastAsia="zh-CN"/>
        </w:rPr>
        <w:t>全球范围内，</w:t>
      </w:r>
      <w:r>
        <w:rPr>
          <w:lang w:eastAsia="zh-CN"/>
        </w:rPr>
        <w:t>航海模拟器</w:t>
      </w:r>
      <w:r>
        <w:rPr>
          <w:rFonts w:hint="eastAsia"/>
          <w:lang w:eastAsia="zh-CN"/>
        </w:rPr>
        <w:t>主要生产商包括瓦锡兰，古野电气，Kongsberg Digital，莱茵金属等，其中前五大厂商占有大约</w:t>
      </w:r>
      <w:r>
        <w:rPr>
          <w:lang w:eastAsia="zh-CN"/>
        </w:rPr>
        <w:t>69%</w:t>
      </w:r>
      <w:r>
        <w:rPr>
          <w:rFonts w:hint="eastAsia"/>
          <w:lang w:eastAsia="zh-CN"/>
        </w:rPr>
        <w:t>的市场份额。</w:t>
      </w:r>
    </w:p>
    <w:p w14:paraId="6E466FB3">
      <w:pPr>
        <w:pStyle w:val="145"/>
        <w:rPr>
          <w:rFonts w:hint="eastAsia"/>
          <w:lang w:eastAsia="zh-CN"/>
        </w:rPr>
      </w:pPr>
      <w:r>
        <w:rPr>
          <w:rFonts w:hint="eastAsia"/>
          <w:lang w:eastAsia="zh-CN"/>
        </w:rPr>
        <w:t>目前，全球核心厂商主要分布在欧洲</w:t>
      </w:r>
    </w:p>
    <w:p w14:paraId="3B2E5865">
      <w:pPr>
        <w:pStyle w:val="145"/>
        <w:rPr>
          <w:lang w:eastAsia="zh-CN"/>
        </w:rPr>
      </w:pPr>
    </w:p>
    <w:p w14:paraId="3E6DE9A8">
      <w:pPr>
        <w:pStyle w:val="148"/>
        <w:rPr>
          <w:lang w:eastAsia="zh-CN"/>
        </w:rPr>
      </w:pPr>
      <w:r>
        <w:rPr>
          <w:lang w:eastAsia="zh-CN"/>
        </w:rPr>
        <w:t>航海模拟器</w:t>
      </w:r>
      <w:r>
        <w:rPr>
          <w:rFonts w:hint="eastAsia"/>
          <w:lang w:eastAsia="zh-CN"/>
        </w:rPr>
        <w:t>，全球市场规模，按产品类型细分，船舶操纵模拟器处于主导地位</w:t>
      </w:r>
    </w:p>
    <w:p w14:paraId="19A9AF05">
      <w:pPr>
        <w:pStyle w:val="145"/>
        <w:rPr>
          <w:lang w:eastAsia="zh-CN"/>
        </w:rPr>
      </w:pPr>
      <w:r>
        <w:drawing>
          <wp:inline distT="0" distB="0" distL="0" distR="0">
            <wp:extent cx="6188710" cy="2922270"/>
            <wp:effectExtent l="0" t="0" r="254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9AE0722">
      <w:pPr>
        <w:pStyle w:val="143"/>
        <w:rPr>
          <w:lang w:eastAsia="zh-CN"/>
        </w:rPr>
      </w:pPr>
      <w:r>
        <w:rPr>
          <w:rFonts w:hint="eastAsia"/>
          <w:lang w:eastAsia="zh-CN"/>
        </w:rPr>
        <w:t>来源：QYResearch 研究中心</w:t>
      </w:r>
    </w:p>
    <w:p w14:paraId="0C15F77A">
      <w:pPr>
        <w:pStyle w:val="145"/>
        <w:rPr>
          <w:lang w:eastAsia="zh-CN"/>
        </w:rPr>
      </w:pPr>
      <w:r>
        <w:rPr>
          <w:rFonts w:hint="eastAsia"/>
          <w:lang w:eastAsia="zh-CN"/>
        </w:rPr>
        <w:t>就产品类型而言，目前船舶操纵模拟器是最主要的细分产品，占据大约</w:t>
      </w:r>
      <w:r>
        <w:rPr>
          <w:lang w:eastAsia="zh-CN"/>
        </w:rPr>
        <w:t>43%</w:t>
      </w:r>
      <w:r>
        <w:rPr>
          <w:rFonts w:hint="eastAsia"/>
          <w:lang w:eastAsia="zh-CN"/>
        </w:rPr>
        <w:t>的份额。</w:t>
      </w:r>
    </w:p>
    <w:p w14:paraId="41C3AE68">
      <w:pPr>
        <w:pStyle w:val="145"/>
        <w:rPr>
          <w:lang w:eastAsia="zh-CN"/>
        </w:rPr>
      </w:pPr>
    </w:p>
    <w:p w14:paraId="0B069045">
      <w:pPr>
        <w:pStyle w:val="148"/>
        <w:rPr>
          <w:lang w:eastAsia="zh-CN"/>
        </w:rPr>
      </w:pPr>
      <w:r>
        <w:rPr>
          <w:lang w:eastAsia="zh-CN"/>
        </w:rPr>
        <w:t>航海模拟器</w:t>
      </w:r>
      <w:r>
        <w:rPr>
          <w:rFonts w:hint="eastAsia"/>
          <w:lang w:eastAsia="zh-CN"/>
        </w:rPr>
        <w:t>，全球市场规模，按应用细分，海事院校是最大的下游市场，占有</w:t>
      </w:r>
      <w:r>
        <w:rPr>
          <w:lang w:eastAsia="zh-CN"/>
        </w:rPr>
        <w:t>47%</w:t>
      </w:r>
      <w:r>
        <w:rPr>
          <w:rFonts w:hint="eastAsia"/>
          <w:lang w:eastAsia="zh-CN"/>
        </w:rPr>
        <w:t>份额。</w:t>
      </w:r>
    </w:p>
    <w:p w14:paraId="1F9213C6">
      <w:pPr>
        <w:widowControl/>
        <w:topLinePunct w:val="0"/>
        <w:spacing w:after="0"/>
        <w:jc w:val="left"/>
        <w:rPr>
          <w:rFonts w:ascii="宋体" w:hAnsi="宋体" w:cs="宋体"/>
          <w:kern w:val="0"/>
          <w:sz w:val="24"/>
          <w:szCs w:val="24"/>
        </w:rPr>
      </w:pPr>
      <w:r>
        <w:drawing>
          <wp:inline distT="0" distB="0" distL="0" distR="0">
            <wp:extent cx="2879725" cy="2879725"/>
            <wp:effectExtent l="0" t="0" r="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t xml:space="preserve"> </w:t>
      </w:r>
      <w:r>
        <w:drawing>
          <wp:inline distT="0" distB="0" distL="0" distR="0">
            <wp:extent cx="2879725" cy="2879725"/>
            <wp:effectExtent l="0" t="0" r="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rFonts w:ascii="宋体" w:hAnsi="宋体" w:cs="宋体"/>
          <w:kern w:val="0"/>
          <w:sz w:val="24"/>
          <w:szCs w:val="24"/>
        </w:rPr>
        <w:drawing>
          <wp:inline distT="0" distB="0" distL="0" distR="0">
            <wp:extent cx="6188710" cy="2922905"/>
            <wp:effectExtent l="0" t="0" r="2540" b="0"/>
            <wp:docPr id="157119199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191997" name="图片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188710" cy="2922905"/>
                    </a:xfrm>
                    <a:prstGeom prst="rect">
                      <a:avLst/>
                    </a:prstGeom>
                    <a:noFill/>
                    <a:ln>
                      <a:noFill/>
                    </a:ln>
                  </pic:spPr>
                </pic:pic>
              </a:graphicData>
            </a:graphic>
          </wp:inline>
        </w:drawing>
      </w:r>
    </w:p>
    <w:p w14:paraId="1753BDFC">
      <w:pPr>
        <w:pStyle w:val="143"/>
        <w:rPr>
          <w:lang w:eastAsia="zh-CN"/>
        </w:rPr>
      </w:pPr>
      <w:r>
        <w:rPr>
          <w:rFonts w:hint="eastAsia"/>
          <w:lang w:eastAsia="zh-CN"/>
        </w:rPr>
        <w:t>来源：QYResearch 研究中心</w:t>
      </w:r>
    </w:p>
    <w:p w14:paraId="08CA65EC">
      <w:pPr>
        <w:pStyle w:val="143"/>
      </w:pPr>
    </w:p>
    <w:p w14:paraId="57B4BA57">
      <w:pPr>
        <w:pStyle w:val="145"/>
        <w:rPr>
          <w:lang w:eastAsia="zh-CN"/>
        </w:rPr>
      </w:pPr>
      <w:r>
        <w:rPr>
          <w:rFonts w:hint="eastAsia"/>
          <w:lang w:eastAsia="zh-CN"/>
        </w:rPr>
        <w:t>就产品类型而言，目前海事院校是最主要的需求来源，占据大约</w:t>
      </w:r>
      <w:r>
        <w:rPr>
          <w:lang w:eastAsia="zh-CN"/>
        </w:rPr>
        <w:t>47%</w:t>
      </w:r>
      <w:r>
        <w:rPr>
          <w:rFonts w:hint="eastAsia"/>
          <w:lang w:eastAsia="zh-CN"/>
        </w:rPr>
        <w:t>的份额。</w:t>
      </w:r>
    </w:p>
    <w:p w14:paraId="4B5D90DE">
      <w:pPr>
        <w:pStyle w:val="145"/>
        <w:rPr>
          <w:lang w:eastAsia="zh-CN"/>
        </w:rPr>
      </w:pPr>
    </w:p>
    <w:p w14:paraId="5315F7D2">
      <w:pPr>
        <w:pStyle w:val="143"/>
        <w:rPr>
          <w:lang w:eastAsia="zh-CN"/>
        </w:rPr>
      </w:pPr>
    </w:p>
    <w:p w14:paraId="0CD10F4E">
      <w:pPr>
        <w:pStyle w:val="148"/>
        <w:rPr>
          <w:lang w:eastAsia="zh-CN"/>
        </w:rPr>
      </w:pPr>
      <w:r>
        <w:rPr>
          <w:rFonts w:hint="eastAsia"/>
          <w:lang w:eastAsia="zh-CN"/>
        </w:rPr>
        <w:t>全球主要市场</w:t>
      </w:r>
      <w:r>
        <w:rPr>
          <w:lang w:eastAsia="zh-CN"/>
        </w:rPr>
        <w:t>航海模拟器</w:t>
      </w:r>
      <w:r>
        <w:rPr>
          <w:rFonts w:hint="eastAsia"/>
          <w:lang w:eastAsia="zh-CN"/>
        </w:rPr>
        <w:t>规模</w:t>
      </w:r>
    </w:p>
    <w:p w14:paraId="43FD29A5">
      <w:pPr>
        <w:pStyle w:val="143"/>
        <w:rPr>
          <w:lang w:eastAsia="zh-CN"/>
        </w:rPr>
      </w:pPr>
      <w:r>
        <w:drawing>
          <wp:inline distT="0" distB="0" distL="0" distR="0">
            <wp:extent cx="6188710" cy="2922270"/>
            <wp:effectExtent l="0" t="0" r="254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t xml:space="preserve"> </w:t>
      </w:r>
      <w:r>
        <w:drawing>
          <wp:inline distT="0" distB="0" distL="0" distR="0">
            <wp:extent cx="6188710" cy="2922270"/>
            <wp:effectExtent l="0" t="0" r="254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Pr>
          <w:rFonts w:hint="eastAsia"/>
          <w:lang w:eastAsia="zh-CN"/>
        </w:rPr>
        <w:t>来源：QYResearch 研究中心</w:t>
      </w:r>
    </w:p>
    <w:p w14:paraId="265C5B20">
      <w:pPr>
        <w:pStyle w:val="143"/>
      </w:pPr>
    </w:p>
    <w:p w14:paraId="4020B357">
      <w:pPr>
        <w:pStyle w:val="145"/>
      </w:pPr>
    </w:p>
    <w:p w14:paraId="418CECD8">
      <w:pPr>
        <w:pStyle w:val="145"/>
        <w:rPr>
          <w:lang w:eastAsia="zh-CN"/>
        </w:rPr>
      </w:pPr>
      <w:r>
        <w:rPr>
          <w:rFonts w:hint="eastAsia"/>
          <w:lang w:eastAsia="zh-CN"/>
        </w:rPr>
        <w:t>主要驱动因素</w:t>
      </w:r>
      <w:r>
        <w:rPr>
          <w:lang w:eastAsia="zh-CN"/>
        </w:rPr>
        <w:t>:</w:t>
      </w:r>
    </w:p>
    <w:p w14:paraId="712E0AF2">
      <w:pPr>
        <w:pStyle w:val="145"/>
        <w:rPr>
          <w:rFonts w:hint="eastAsia"/>
          <w:lang w:eastAsia="zh-CN"/>
        </w:rPr>
      </w:pPr>
      <w:r>
        <w:rPr>
          <w:rFonts w:hint="eastAsia"/>
          <w:lang w:eastAsia="zh-CN"/>
        </w:rPr>
        <w:t>《培训、发证和值班标准》（STCW）和国际海事组织（IMO）海事安全委员会指南等国际法规要求在各种培训模块中使用模拟器，尤其是针对更高级别的认证和复杂的操作程序。</w:t>
      </w:r>
    </w:p>
    <w:p w14:paraId="0E66EBE4">
      <w:pPr>
        <w:pStyle w:val="145"/>
        <w:rPr>
          <w:rFonts w:hint="eastAsia"/>
          <w:lang w:eastAsia="zh-CN"/>
        </w:rPr>
      </w:pPr>
      <w:r>
        <w:rPr>
          <w:rFonts w:hint="eastAsia"/>
          <w:lang w:eastAsia="zh-CN"/>
        </w:rPr>
        <w:t>拥有强大海军力量的国家正在优先投资用于战术行动、海战和联合协同演习的军事模拟系统。</w:t>
      </w:r>
    </w:p>
    <w:p w14:paraId="5666E4F2">
      <w:pPr>
        <w:pStyle w:val="145"/>
        <w:rPr>
          <w:lang w:eastAsia="zh-CN"/>
        </w:rPr>
      </w:pPr>
      <w:r>
        <w:rPr>
          <w:rFonts w:hint="eastAsia"/>
          <w:lang w:eastAsia="zh-CN"/>
        </w:rPr>
        <w:t>受跨境贸易需求日益增长的推动，全球航运船队的扩张支撑了商业和国防领域对训练有素的人员的持续需求。</w:t>
      </w:r>
    </w:p>
    <w:p w14:paraId="446A06E2">
      <w:pPr>
        <w:pStyle w:val="145"/>
        <w:rPr>
          <w:lang w:eastAsia="zh-CN"/>
        </w:rPr>
      </w:pPr>
      <w:r>
        <w:rPr>
          <w:rFonts w:hint="eastAsia"/>
          <w:lang w:eastAsia="zh-CN"/>
        </w:rPr>
        <w:t>主要阻碍因素</w:t>
      </w:r>
      <w:r>
        <w:rPr>
          <w:lang w:eastAsia="zh-CN"/>
        </w:rPr>
        <w:t>:</w:t>
      </w:r>
    </w:p>
    <w:p w14:paraId="353420A9">
      <w:pPr>
        <w:pStyle w:val="145"/>
        <w:rPr>
          <w:rFonts w:hint="eastAsia"/>
          <w:lang w:eastAsia="zh-CN"/>
        </w:rPr>
      </w:pPr>
      <w:r>
        <w:rPr>
          <w:rFonts w:hint="eastAsia"/>
          <w:lang w:eastAsia="zh-CN"/>
        </w:rPr>
        <w:t>全任务模拟器（包括硬件、软件和基础设施）的成本在 50 万美元到 500 万美元之间。高昂的初始成本仍然是小型机构或新兴市场机构的一大障碍。</w:t>
      </w:r>
    </w:p>
    <w:p w14:paraId="3296E651">
      <w:pPr>
        <w:pStyle w:val="145"/>
        <w:rPr>
          <w:lang w:eastAsia="zh-CN"/>
        </w:rPr>
      </w:pPr>
      <w:r>
        <w:rPr>
          <w:rFonts w:hint="eastAsia"/>
          <w:lang w:eastAsia="zh-CN"/>
        </w:rPr>
        <w:t>每个船旗国和海事监管机构对模拟器认证都有各自的要求，而且这些流程可能比较缓慢，且在不同地区存在不一致。</w:t>
      </w:r>
    </w:p>
    <w:p w14:paraId="620E7F93">
      <w:pPr>
        <w:pStyle w:val="145"/>
        <w:rPr>
          <w:lang w:eastAsia="zh-CN"/>
        </w:rPr>
      </w:pPr>
      <w:r>
        <w:rPr>
          <w:rFonts w:hint="eastAsia"/>
          <w:lang w:eastAsia="zh-CN"/>
        </w:rPr>
        <w:t>行业发展机遇</w:t>
      </w:r>
      <w:r>
        <w:rPr>
          <w:lang w:eastAsia="zh-CN"/>
        </w:rPr>
        <w:t>:</w:t>
      </w:r>
    </w:p>
    <w:p w14:paraId="0F82BE46">
      <w:pPr>
        <w:pStyle w:val="145"/>
        <w:rPr>
          <w:rFonts w:hint="eastAsia"/>
          <w:lang w:eastAsia="zh-CN"/>
        </w:rPr>
      </w:pPr>
      <w:r>
        <w:rPr>
          <w:rFonts w:hint="eastAsia"/>
          <w:lang w:eastAsia="zh-CN"/>
        </w:rPr>
        <w:t>随着海事组织寻求更具成本效益和可扩展性的解决方案，对基于云的模拟器的需求日益增长。这些模拟器允许在任何地点进行训练，利用云来托管场景、训练数据和教练反馈系统。</w:t>
      </w:r>
    </w:p>
    <w:p w14:paraId="25CA3FAD">
      <w:pPr>
        <w:pStyle w:val="145"/>
        <w:rPr>
          <w:rFonts w:hint="eastAsia"/>
          <w:lang w:eastAsia="zh-CN"/>
        </w:rPr>
      </w:pPr>
      <w:r>
        <w:rPr>
          <w:rFonts w:hint="eastAsia"/>
          <w:lang w:eastAsia="zh-CN"/>
        </w:rPr>
        <w:t>虚拟现实和增强现实技术正在显著改变海事训练的方式。这些技术提供了完全沉浸式的逼真环境，学员可以体验从船上操作到应急演习等各种复杂场景。</w:t>
      </w:r>
    </w:p>
    <w:p w14:paraId="74641357">
      <w:pPr>
        <w:pStyle w:val="145"/>
        <w:rPr>
          <w:lang w:eastAsia="zh-CN"/>
        </w:rPr>
      </w:pPr>
      <w:r>
        <w:rPr>
          <w:rFonts w:hint="eastAsia"/>
          <w:lang w:eastAsia="zh-CN"/>
        </w:rPr>
        <w:t>对分布式模拟（即来自不同供应商的多个模拟器可以在一个共同的虚拟环境中交互）的需求正在日益增长。这对于涉及军事、商业和港口运营的联合演习尤为重要。</w:t>
      </w:r>
      <w:bookmarkEnd w:id="0"/>
      <w:bookmarkEnd w:id="1"/>
      <w:bookmarkEnd w:id="2"/>
      <w:bookmarkEnd w:id="3"/>
      <w:bookmarkEnd w:id="4"/>
      <w:bookmarkEnd w:id="5"/>
      <w:bookmarkEnd w:id="6"/>
      <w:bookmarkEnd w:id="7"/>
      <w:bookmarkEnd w:id="8"/>
      <w:bookmarkEnd w:id="9"/>
      <w:bookmarkEnd w:id="10"/>
      <w:bookmarkEnd w:id="11"/>
      <w:bookmarkEnd w:id="12"/>
      <w:bookmarkStart w:id="13" w:name="_GoBack"/>
      <w:bookmarkEnd w:id="13"/>
    </w:p>
    <w:p w14:paraId="07A95001">
      <w:pPr>
        <w:pStyle w:val="145"/>
        <w:rPr>
          <w:lang w:eastAsia="zh-CN"/>
        </w:rPr>
      </w:pP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全球航海模拟器市场研究报告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全球航海模拟器市场研究报告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CCD"/>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5E81"/>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3C3"/>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ADC"/>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D37"/>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29A"/>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A1C"/>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BC2"/>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5D50F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image" Target="media/image3.png"/><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26032;&#24314;&#25991;&#20214;&#22841;\&#33322;&#28023;&#27169;&#25311;&#22120;\&#33521;&#25991;&#35266;&#28857;.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26032;&#24314;&#25991;&#20214;&#22841;\&#33322;&#28023;&#27169;&#25311;&#22120;\&#33521;&#25991;&#35266;&#28857;.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6032;&#24314;&#25991;&#20214;&#22841;\&#33322;&#28023;&#27169;&#25311;&#22120;\&#33521;&#25991;&#35266;&#28857;.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Desktop\&#26032;&#24314;&#25991;&#20214;&#22841;\&#33322;&#28023;&#27169;&#25311;&#22120;\&#33521;&#25991;&#35266;&#2885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26032;&#24314;&#25991;&#20214;&#22841;\&#33322;&#28023;&#27169;&#25311;&#22120;\&#33521;&#25991;&#35266;&#28857;.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istrator\Desktop\&#26032;&#24314;&#25991;&#20214;&#22841;\&#33322;&#28023;&#27169;&#25311;&#22120;\&#33521;&#25991;&#35266;&#28857;.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宋体" panose="02010600030101010101" charset="-122"/>
                <a:cs typeface="+mn-cs"/>
              </a:defRPr>
            </a:pPr>
            <a:r>
              <a:rPr lang="zh-CN" sz="1100"/>
              <a:t>全球市场主要企业排名</a:t>
            </a:r>
            <a:endParaRPr lang="en-US" sz="1100"/>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2024</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Pt>
            <c:idx val="15"/>
            <c:invertIfNegative val="0"/>
            <c:bubble3D val="0"/>
            <c:spPr>
              <a:solidFill>
                <a:schemeClr val="accent4">
                  <a:lumMod val="80000"/>
                  <a:lumOff val="20000"/>
                </a:schemeClr>
              </a:solidFill>
              <a:ln>
                <a:noFill/>
              </a:ln>
              <a:effectLst/>
            </c:spPr>
          </c:dPt>
          <c:dLbls>
            <c:delete val="1"/>
          </c:dLbls>
          <c:cat>
            <c:strRef>
              <c:f>企业收入!$H$2:$H$17</c:f>
              <c:strCache>
                <c:ptCount val="16"/>
                <c:pt idx="0">
                  <c:v>瓦锡兰</c:v>
                </c:pt>
                <c:pt idx="1">
                  <c:v>古野电气</c:v>
                </c:pt>
                <c:pt idx="2">
                  <c:v>Kongsberg Digital</c:v>
                </c:pt>
                <c:pt idx="3">
                  <c:v>莱茵金属</c:v>
                </c:pt>
                <c:pt idx="4">
                  <c:v>VSTEP Simulation</c:v>
                </c:pt>
                <c:pt idx="5">
                  <c:v>Japan Marine Science</c:v>
                </c:pt>
                <c:pt idx="6">
                  <c:v>Poseidon Simulation</c:v>
                </c:pt>
                <c:pt idx="7">
                  <c:v>PC Maritime</c:v>
                </c:pt>
                <c:pt idx="8">
                  <c:v>ARI Simulation</c:v>
                </c:pt>
                <c:pt idx="9">
                  <c:v>Virtual Marine Technology</c:v>
                </c:pt>
                <c:pt idx="10">
                  <c:v>FORCE Technology</c:v>
                </c:pt>
                <c:pt idx="11">
                  <c:v>Image Soft</c:v>
                </c:pt>
                <c:pt idx="12">
                  <c:v>大连海大智龙科技</c:v>
                </c:pt>
                <c:pt idx="13">
                  <c:v>上海海阳气象导航技术</c:v>
                </c:pt>
                <c:pt idx="14">
                  <c:v>厦门泓庚航海科技</c:v>
                </c:pt>
                <c:pt idx="15">
                  <c:v>Morild Interaktiv</c:v>
                </c:pt>
              </c:strCache>
            </c:strRef>
          </c:cat>
          <c:val>
            <c:numRef>
              <c:f>企业收入!$I$2:$I$17</c:f>
              <c:numCache>
                <c:formatCode>0.0%</c:formatCode>
                <c:ptCount val="16"/>
                <c:pt idx="0">
                  <c:v>0.332164152928797</c:v>
                </c:pt>
                <c:pt idx="1">
                  <c:v>0.135897735687283</c:v>
                </c:pt>
                <c:pt idx="2">
                  <c:v>0.0938072411239721</c:v>
                </c:pt>
                <c:pt idx="3">
                  <c:v>0.0781012510230329</c:v>
                </c:pt>
                <c:pt idx="4">
                  <c:v>0.0475856424646323</c:v>
                </c:pt>
                <c:pt idx="5">
                  <c:v>0.0303207451576445</c:v>
                </c:pt>
                <c:pt idx="6">
                  <c:v>0.0236564168517869</c:v>
                </c:pt>
                <c:pt idx="7">
                  <c:v>0.0201488756381776</c:v>
                </c:pt>
                <c:pt idx="8">
                  <c:v>0.0173818153474414</c:v>
                </c:pt>
                <c:pt idx="9">
                  <c:v>0.0164464710238123</c:v>
                </c:pt>
                <c:pt idx="10">
                  <c:v>0.0143029736154955</c:v>
                </c:pt>
                <c:pt idx="11">
                  <c:v>0.0121594762071788</c:v>
                </c:pt>
                <c:pt idx="12">
                  <c:v>0.010561596320979</c:v>
                </c:pt>
                <c:pt idx="13">
                  <c:v>0.00923652519583772</c:v>
                </c:pt>
                <c:pt idx="14">
                  <c:v>0.00759967262948673</c:v>
                </c:pt>
                <c:pt idx="15">
                  <c:v>0.0061187107837406</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85573b39-33d2-4118-9286-507c834c2399}"/>
      </c:ext>
    </c:extLst>
  </c:chart>
  <c:spPr>
    <a:solidFill>
      <a:schemeClr val="bg1"/>
    </a:solidFill>
    <a:ln w="9525" cap="flat" cmpd="sng" algn="ctr">
      <a:noFill/>
      <a:round/>
    </a:ln>
    <a:effectLst/>
  </c:spPr>
  <c:txPr>
    <a:bodyPr/>
    <a:lstStyle/>
    <a:p>
      <a:pPr>
        <a:defRPr lang="zh-CN" baseline="0">
          <a:latin typeface="Times New Roman" panose="02020603050405020304" charset="0"/>
          <a:ea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应用!$A$2</c:f>
              <c:strCache>
                <c:ptCount val="1"/>
                <c:pt idx="0">
                  <c:v>船舶操纵模拟器</c:v>
                </c:pt>
              </c:strCache>
            </c:strRef>
          </c:tx>
          <c:spPr>
            <a:solidFill>
              <a:srgbClr val="002060"/>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应用!$B$2:$M$2</c:f>
              <c:numCache>
                <c:formatCode>#,##0_);[Red]\(#,##0\)</c:formatCode>
                <c:ptCount val="12"/>
                <c:pt idx="0">
                  <c:v>78.55</c:v>
                </c:pt>
                <c:pt idx="1">
                  <c:v>90.28</c:v>
                </c:pt>
                <c:pt idx="2">
                  <c:v>96.97</c:v>
                </c:pt>
                <c:pt idx="3">
                  <c:v>106.37</c:v>
                </c:pt>
                <c:pt idx="4">
                  <c:v>110.69</c:v>
                </c:pt>
                <c:pt idx="5">
                  <c:v>120.48</c:v>
                </c:pt>
                <c:pt idx="6">
                  <c:v>132.74</c:v>
                </c:pt>
                <c:pt idx="7">
                  <c:v>146.3</c:v>
                </c:pt>
                <c:pt idx="8">
                  <c:v>160.66</c:v>
                </c:pt>
                <c:pt idx="9">
                  <c:v>167.82</c:v>
                </c:pt>
                <c:pt idx="10">
                  <c:v>174.37</c:v>
                </c:pt>
                <c:pt idx="11">
                  <c:v>194.89</c:v>
                </c:pt>
              </c:numCache>
            </c:numRef>
          </c:val>
        </c:ser>
        <c:ser>
          <c:idx val="1"/>
          <c:order val="1"/>
          <c:tx>
            <c:strRef>
              <c:f>应用!$A$3</c:f>
              <c:strCache>
                <c:ptCount val="1"/>
                <c:pt idx="0">
                  <c:v>雷达模拟器</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应用!$B$3:$M$3</c:f>
              <c:numCache>
                <c:formatCode>#,##0_);[Red]\(#,##0\)</c:formatCode>
                <c:ptCount val="12"/>
                <c:pt idx="0">
                  <c:v>26.79</c:v>
                </c:pt>
                <c:pt idx="1">
                  <c:v>30.39</c:v>
                </c:pt>
                <c:pt idx="2">
                  <c:v>32.04</c:v>
                </c:pt>
                <c:pt idx="3">
                  <c:v>34.54</c:v>
                </c:pt>
                <c:pt idx="4">
                  <c:v>35.32</c:v>
                </c:pt>
                <c:pt idx="5">
                  <c:v>37.92</c:v>
                </c:pt>
                <c:pt idx="6">
                  <c:v>41.34</c:v>
                </c:pt>
                <c:pt idx="7">
                  <c:v>44.99</c:v>
                </c:pt>
                <c:pt idx="8">
                  <c:v>48.94</c:v>
                </c:pt>
                <c:pt idx="9">
                  <c:v>50.18</c:v>
                </c:pt>
                <c:pt idx="10">
                  <c:v>51.08</c:v>
                </c:pt>
                <c:pt idx="11">
                  <c:v>55.96</c:v>
                </c:pt>
              </c:numCache>
            </c:numRef>
          </c:val>
        </c:ser>
        <c:ser>
          <c:idx val="2"/>
          <c:order val="2"/>
          <c:tx>
            <c:strRef>
              <c:f>应用!$A$4</c:f>
              <c:strCache>
                <c:ptCount val="1"/>
                <c:pt idx="0">
                  <c:v>ECDIS模拟器</c:v>
                </c:pt>
              </c:strCache>
            </c:strRef>
          </c:tx>
          <c:spPr>
            <a:solidFill>
              <a:schemeClr val="accent6">
                <a:lumMod val="75000"/>
              </a:schemeClr>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应用!$B$4:$M$4</c:f>
              <c:numCache>
                <c:formatCode>#,##0_);[Red]\(#,##0\)</c:formatCode>
                <c:ptCount val="12"/>
                <c:pt idx="0">
                  <c:v>43.56</c:v>
                </c:pt>
                <c:pt idx="1">
                  <c:v>49.92</c:v>
                </c:pt>
                <c:pt idx="2">
                  <c:v>52.85</c:v>
                </c:pt>
                <c:pt idx="3">
                  <c:v>57.21</c:v>
                </c:pt>
                <c:pt idx="4">
                  <c:v>59.03</c:v>
                </c:pt>
                <c:pt idx="5">
                  <c:v>63.86</c:v>
                </c:pt>
                <c:pt idx="6">
                  <c:v>70.17</c:v>
                </c:pt>
                <c:pt idx="7">
                  <c:v>77.08</c:v>
                </c:pt>
                <c:pt idx="8">
                  <c:v>84.14</c:v>
                </c:pt>
                <c:pt idx="9">
                  <c:v>86.35</c:v>
                </c:pt>
                <c:pt idx="10">
                  <c:v>88.69</c:v>
                </c:pt>
                <c:pt idx="11">
                  <c:v>98.26</c:v>
                </c:pt>
              </c:numCache>
            </c:numRef>
          </c:val>
        </c:ser>
        <c:ser>
          <c:idx val="3"/>
          <c:order val="3"/>
          <c:tx>
            <c:strRef>
              <c:f>应用!$A$5</c:f>
              <c:strCache>
                <c:ptCount val="1"/>
                <c:pt idx="0">
                  <c:v>GMDSS模拟器</c:v>
                </c:pt>
              </c:strCache>
            </c:strRef>
          </c:tx>
          <c:spPr>
            <a:solidFill>
              <a:schemeClr val="tx2">
                <a:lumMod val="60000"/>
                <a:lumOff val="40000"/>
              </a:schemeClr>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应用!$B$5:$M$5</c:f>
              <c:numCache>
                <c:formatCode>#,##0_);[Red]\(#,##0\)</c:formatCode>
                <c:ptCount val="12"/>
                <c:pt idx="0">
                  <c:v>19.98</c:v>
                </c:pt>
                <c:pt idx="1">
                  <c:v>22.91</c:v>
                </c:pt>
                <c:pt idx="2">
                  <c:v>24.49</c:v>
                </c:pt>
                <c:pt idx="3">
                  <c:v>26.84</c:v>
                </c:pt>
                <c:pt idx="4">
                  <c:v>27.75</c:v>
                </c:pt>
                <c:pt idx="5">
                  <c:v>30.14</c:v>
                </c:pt>
                <c:pt idx="6">
                  <c:v>33.26</c:v>
                </c:pt>
                <c:pt idx="7">
                  <c:v>36.49</c:v>
                </c:pt>
                <c:pt idx="8">
                  <c:v>40.18</c:v>
                </c:pt>
                <c:pt idx="9">
                  <c:v>41.95</c:v>
                </c:pt>
                <c:pt idx="10">
                  <c:v>43.25</c:v>
                </c:pt>
                <c:pt idx="11">
                  <c:v>47.98</c:v>
                </c:pt>
              </c:numCache>
            </c:numRef>
          </c:val>
        </c:ser>
        <c:ser>
          <c:idx val="4"/>
          <c:order val="4"/>
          <c:tx>
            <c:strRef>
              <c:f>应用!$A$6</c:f>
              <c:strCache>
                <c:ptCount val="1"/>
                <c:pt idx="0">
                  <c:v>其他</c:v>
                </c:pt>
              </c:strCache>
            </c:strRef>
          </c:tx>
          <c:spPr>
            <a:solidFill>
              <a:schemeClr val="accent5"/>
            </a:solidFill>
            <a:ln>
              <a:noFill/>
            </a:ln>
            <a:effectLst/>
          </c:spPr>
          <c:invertIfNegative val="0"/>
          <c:dLbls>
            <c:delete val="1"/>
          </c:dLbls>
          <c:cat>
            <c:numRef>
              <c:f>应用!$B$1:$M$1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应用!$B$6:$M$6</c:f>
              <c:numCache>
                <c:formatCode>#,##0_);[Red]\(#,##0\)</c:formatCode>
                <c:ptCount val="12"/>
                <c:pt idx="0">
                  <c:v>16.85</c:v>
                </c:pt>
                <c:pt idx="1">
                  <c:v>19.38</c:v>
                </c:pt>
                <c:pt idx="2">
                  <c:v>20.77</c:v>
                </c:pt>
                <c:pt idx="3">
                  <c:v>22.9</c:v>
                </c:pt>
                <c:pt idx="4">
                  <c:v>23.8</c:v>
                </c:pt>
                <c:pt idx="5">
                  <c:v>25.94</c:v>
                </c:pt>
                <c:pt idx="6">
                  <c:v>28.82</c:v>
                </c:pt>
                <c:pt idx="7">
                  <c:v>31.71</c:v>
                </c:pt>
                <c:pt idx="8">
                  <c:v>35.06</c:v>
                </c:pt>
                <c:pt idx="9">
                  <c:v>36.51</c:v>
                </c:pt>
                <c:pt idx="10">
                  <c:v>38.04</c:v>
                </c:pt>
                <c:pt idx="11">
                  <c:v>42.21</c:v>
                </c:pt>
              </c:numCache>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spPr>
        <a:noFill/>
        <a:ln>
          <a:noFill/>
        </a:ln>
        <a:effectLst/>
      </c:spPr>
    </c:plotArea>
    <c:legend>
      <c:legendPos val="b"/>
      <c:layout>
        <c:manualLayout>
          <c:xMode val="edge"/>
          <c:yMode val="edge"/>
          <c:x val="0.0695485312899106"/>
          <c:y val="0.865502222222222"/>
          <c:w val="0.862557716049383"/>
          <c:h val="0.0658464052287582"/>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9f7c2379-696d-4bbb-834c-f51082fe3104}"/>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2024</a:t>
            </a:r>
            <a:endParaRPr lang="en-US" altLang="zh-CN">
              <a:latin typeface="Book Antiqua" panose="02040602050305030304" pitchFamily="1" charset="0"/>
            </a:endParaRPr>
          </a:p>
        </c:rich>
      </c:tx>
      <c:layout>
        <c:manualLayout>
          <c:xMode val="edge"/>
          <c:yMode val="edge"/>
          <c:x val="0.431731266149871"/>
          <c:y val="0.481837746013324"/>
        </c:manualLayout>
      </c:layout>
      <c:overlay val="0"/>
      <c:spPr>
        <a:noFill/>
        <a:ln>
          <a:noFill/>
        </a:ln>
        <a:effectLst/>
      </c:spPr>
    </c:title>
    <c:autoTitleDeleted val="0"/>
    <c:plotArea>
      <c:layout/>
      <c:doughnutChart>
        <c:varyColors val="1"/>
        <c:ser>
          <c:idx val="0"/>
          <c:order val="0"/>
          <c:tx>
            <c:strRef>
              <c:f>分类!$AF$1</c:f>
              <c:strCache>
                <c:ptCount val="1"/>
                <c:pt idx="0">
                  <c:v>2024</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delete val="1"/>
          </c:dLbls>
          <c:cat>
            <c:strRef>
              <c:f>分类!$R$2:$R$6</c:f>
              <c:strCache>
                <c:ptCount val="5"/>
                <c:pt idx="0">
                  <c:v>海事院校</c:v>
                </c:pt>
                <c:pt idx="1">
                  <c:v>国防与军事</c:v>
                </c:pt>
                <c:pt idx="2">
                  <c:v>港口与航运</c:v>
                </c:pt>
                <c:pt idx="3">
                  <c:v>石油与天然气</c:v>
                </c:pt>
                <c:pt idx="4">
                  <c:v>其他</c:v>
                </c:pt>
              </c:strCache>
            </c:strRef>
          </c:cat>
          <c:val>
            <c:numRef>
              <c:f>分类!$AF$2:$AF$6</c:f>
              <c:numCache>
                <c:formatCode>0.0%</c:formatCode>
                <c:ptCount val="5"/>
                <c:pt idx="0">
                  <c:v>0.467516271093963</c:v>
                </c:pt>
                <c:pt idx="1">
                  <c:v>0.278303908959819</c:v>
                </c:pt>
                <c:pt idx="2">
                  <c:v>0.0977045091390935</c:v>
                </c:pt>
                <c:pt idx="3">
                  <c:v>0.0597451186718111</c:v>
                </c:pt>
                <c:pt idx="4">
                  <c:v>0.0967301921353131</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e1e26453-3467-4f46-9c6d-17009963ed57}"/>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2031</a:t>
            </a:r>
            <a:endParaRPr lang="en-US" altLang="zh-CN">
              <a:latin typeface="Book Antiqua" panose="02040602050305030304" pitchFamily="1" charset="0"/>
            </a:endParaRPr>
          </a:p>
        </c:rich>
      </c:tx>
      <c:layout>
        <c:manualLayout>
          <c:xMode val="edge"/>
          <c:yMode val="edge"/>
          <c:x val="0.438725452196382"/>
          <c:y val="0.469304340045449"/>
        </c:manualLayout>
      </c:layout>
      <c:overlay val="0"/>
      <c:spPr>
        <a:noFill/>
        <a:ln>
          <a:noFill/>
        </a:ln>
        <a:effectLst/>
      </c:spPr>
    </c:title>
    <c:autoTitleDeleted val="0"/>
    <c:plotArea>
      <c:layout/>
      <c:doughnutChart>
        <c:varyColors val="1"/>
        <c:ser>
          <c:idx val="0"/>
          <c:order val="0"/>
          <c:tx>
            <c:strRef>
              <c:f>分类!$AG$1</c:f>
              <c:strCache>
                <c:ptCount val="1"/>
                <c:pt idx="0">
                  <c:v>2031</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delete val="1"/>
          </c:dLbls>
          <c:cat>
            <c:strRef>
              <c:f>分类!$R$2:$R$6</c:f>
              <c:strCache>
                <c:ptCount val="5"/>
                <c:pt idx="0">
                  <c:v>海事院校</c:v>
                </c:pt>
                <c:pt idx="1">
                  <c:v>国防与军事</c:v>
                </c:pt>
                <c:pt idx="2">
                  <c:v>港口与航运</c:v>
                </c:pt>
                <c:pt idx="3">
                  <c:v>石油与天然气</c:v>
                </c:pt>
                <c:pt idx="4">
                  <c:v>其他</c:v>
                </c:pt>
              </c:strCache>
            </c:strRef>
          </c:cat>
          <c:val>
            <c:numRef>
              <c:f>分类!$AG$2:$AG$6</c:f>
              <c:numCache>
                <c:formatCode>0.0%</c:formatCode>
                <c:ptCount val="5"/>
                <c:pt idx="0">
                  <c:v>0.445868427043023</c:v>
                </c:pt>
                <c:pt idx="1">
                  <c:v>0.299704074664239</c:v>
                </c:pt>
                <c:pt idx="2">
                  <c:v>0.0978602321875711</c:v>
                </c:pt>
                <c:pt idx="3">
                  <c:v>0.0633963123150467</c:v>
                </c:pt>
                <c:pt idx="4">
                  <c:v>0.0931709537901206</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d5f270de-da7d-44da-89af-dd579f699d38}"/>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2019 Vs 2024 VS 2030</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'地区-消费'!$AE$1</c:f>
              <c:strCache>
                <c:ptCount val="1"/>
                <c:pt idx="0">
                  <c:v>2020</c:v>
                </c:pt>
              </c:strCache>
            </c:strRef>
          </c:tx>
          <c:spPr>
            <a:solidFill>
              <a:srgbClr val="FFC000"/>
            </a:solidFill>
            <a:ln>
              <a:noFill/>
            </a:ln>
            <a:effectLst/>
          </c:spPr>
          <c:invertIfNegative val="0"/>
          <c:dLbls>
            <c:delete val="1"/>
          </c:dLbls>
          <c:cat>
            <c:strRef>
              <c:f>'地区-消费'!$AD$2:$AD$6</c:f>
              <c:strCache>
                <c:ptCount val="5"/>
                <c:pt idx="0">
                  <c:v>北美</c:v>
                </c:pt>
                <c:pt idx="1">
                  <c:v>欧洲</c:v>
                </c:pt>
                <c:pt idx="2">
                  <c:v>亚太</c:v>
                </c:pt>
                <c:pt idx="3">
                  <c:v>拉美</c:v>
                </c:pt>
                <c:pt idx="4">
                  <c:v>中东和非洲</c:v>
                </c:pt>
              </c:strCache>
            </c:strRef>
          </c:cat>
          <c:val>
            <c:numRef>
              <c:f>'地区-消费'!$AE$2:$AE$6</c:f>
              <c:numCache>
                <c:formatCode>#,##0_);[Red]\(#,##0\)</c:formatCode>
                <c:ptCount val="5"/>
                <c:pt idx="0">
                  <c:v>41.41</c:v>
                </c:pt>
                <c:pt idx="1">
                  <c:v>69.52</c:v>
                </c:pt>
                <c:pt idx="2">
                  <c:v>56.87</c:v>
                </c:pt>
                <c:pt idx="3">
                  <c:v>5.51</c:v>
                </c:pt>
                <c:pt idx="4">
                  <c:v>12.42</c:v>
                </c:pt>
              </c:numCache>
            </c:numRef>
          </c:val>
        </c:ser>
        <c:ser>
          <c:idx val="1"/>
          <c:order val="1"/>
          <c:tx>
            <c:strRef>
              <c:f>'地区-消费'!$AF$1</c:f>
              <c:strCache>
                <c:ptCount val="1"/>
                <c:pt idx="0">
                  <c:v>2024</c:v>
                </c:pt>
              </c:strCache>
            </c:strRef>
          </c:tx>
          <c:spPr>
            <a:solidFill>
              <a:schemeClr val="bg1">
                <a:lumMod val="50000"/>
              </a:schemeClr>
            </a:solidFill>
            <a:ln>
              <a:noFill/>
            </a:ln>
            <a:effectLst/>
          </c:spPr>
          <c:invertIfNegative val="0"/>
          <c:dLbls>
            <c:delete val="1"/>
          </c:dLbls>
          <c:cat>
            <c:strRef>
              <c:f>'地区-消费'!$AD$2:$AD$6</c:f>
              <c:strCache>
                <c:ptCount val="5"/>
                <c:pt idx="0">
                  <c:v>北美</c:v>
                </c:pt>
                <c:pt idx="1">
                  <c:v>欧洲</c:v>
                </c:pt>
                <c:pt idx="2">
                  <c:v>亚太</c:v>
                </c:pt>
                <c:pt idx="3">
                  <c:v>拉美</c:v>
                </c:pt>
                <c:pt idx="4">
                  <c:v>中东和非洲</c:v>
                </c:pt>
              </c:strCache>
            </c:strRef>
          </c:cat>
          <c:val>
            <c:numRef>
              <c:f>'地区-消费'!$AF$2:$AF$6</c:f>
              <c:numCache>
                <c:formatCode>#,##0_);[Red]\(#,##0\)</c:formatCode>
                <c:ptCount val="5"/>
                <c:pt idx="0">
                  <c:v>61.01</c:v>
                </c:pt>
                <c:pt idx="1">
                  <c:v>90.74</c:v>
                </c:pt>
                <c:pt idx="2">
                  <c:v>80.54</c:v>
                </c:pt>
                <c:pt idx="3">
                  <c:v>7.61</c:v>
                </c:pt>
                <c:pt idx="4">
                  <c:v>16.69</c:v>
                </c:pt>
              </c:numCache>
            </c:numRef>
          </c:val>
        </c:ser>
        <c:ser>
          <c:idx val="2"/>
          <c:order val="2"/>
          <c:tx>
            <c:strRef>
              <c:f>'地区-消费'!$AG$1</c:f>
              <c:strCache>
                <c:ptCount val="1"/>
                <c:pt idx="0">
                  <c:v>2031</c:v>
                </c:pt>
              </c:strCache>
            </c:strRef>
          </c:tx>
          <c:spPr>
            <a:solidFill>
              <a:srgbClr val="002060"/>
            </a:solidFill>
            <a:ln>
              <a:noFill/>
            </a:ln>
            <a:effectLst/>
          </c:spPr>
          <c:invertIfNegative val="0"/>
          <c:dLbls>
            <c:delete val="1"/>
          </c:dLbls>
          <c:cat>
            <c:strRef>
              <c:f>'地区-消费'!$AD$2:$AD$6</c:f>
              <c:strCache>
                <c:ptCount val="5"/>
                <c:pt idx="0">
                  <c:v>北美</c:v>
                </c:pt>
                <c:pt idx="1">
                  <c:v>欧洲</c:v>
                </c:pt>
                <c:pt idx="2">
                  <c:v>亚太</c:v>
                </c:pt>
                <c:pt idx="3">
                  <c:v>拉美</c:v>
                </c:pt>
                <c:pt idx="4">
                  <c:v>中东和非洲</c:v>
                </c:pt>
              </c:strCache>
            </c:strRef>
          </c:cat>
          <c:val>
            <c:numRef>
              <c:f>'地区-消费'!$AG$2:$AG$6</c:f>
              <c:numCache>
                <c:formatCode>#,##0_);[Red]\(#,##0\)</c:formatCode>
                <c:ptCount val="5"/>
                <c:pt idx="0">
                  <c:v>100.92</c:v>
                </c:pt>
                <c:pt idx="1">
                  <c:v>149.06</c:v>
                </c:pt>
                <c:pt idx="2">
                  <c:v>149.95</c:v>
                </c:pt>
                <c:pt idx="3">
                  <c:v>12.32</c:v>
                </c:pt>
                <c:pt idx="4">
                  <c:v>27.05</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extLst>
      <c:ext uri="{0b15fc19-7d7d-44ad-8c2d-2c3a37ce22c3}">
        <chartProps xmlns="https://web.wps.cn/et/2018/main" chartId="{cb32842e-c5f0-4727-b9a1-45caa6761279}"/>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'地区-消费'!$A$2</c:f>
              <c:strCache>
                <c:ptCount val="1"/>
                <c:pt idx="0">
                  <c:v>北美</c:v>
                </c:pt>
              </c:strCache>
            </c:strRef>
          </c:tx>
          <c:spPr>
            <a:solidFill>
              <a:srgbClr val="002060"/>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'地区-消费'!$B$2:$M$2</c:f>
              <c:numCache>
                <c:formatCode>#,##0_);[Red]\(#,##0\)</c:formatCode>
                <c:ptCount val="12"/>
                <c:pt idx="0">
                  <c:v>41.41</c:v>
                </c:pt>
                <c:pt idx="1">
                  <c:v>49.75</c:v>
                </c:pt>
                <c:pt idx="2">
                  <c:v>55.44</c:v>
                </c:pt>
                <c:pt idx="3">
                  <c:v>57.17</c:v>
                </c:pt>
                <c:pt idx="4">
                  <c:v>61.01</c:v>
                </c:pt>
                <c:pt idx="5">
                  <c:v>64.43</c:v>
                </c:pt>
                <c:pt idx="6">
                  <c:v>68.31</c:v>
                </c:pt>
                <c:pt idx="7">
                  <c:v>76.74</c:v>
                </c:pt>
                <c:pt idx="8">
                  <c:v>81.57</c:v>
                </c:pt>
                <c:pt idx="9">
                  <c:v>81.23</c:v>
                </c:pt>
                <c:pt idx="10">
                  <c:v>84.27</c:v>
                </c:pt>
                <c:pt idx="11">
                  <c:v>100.92</c:v>
                </c:pt>
              </c:numCache>
            </c:numRef>
          </c:val>
        </c:ser>
        <c:ser>
          <c:idx val="1"/>
          <c:order val="1"/>
          <c:tx>
            <c:strRef>
              <c:f>'地区-消费'!$A$3</c:f>
              <c:strCache>
                <c:ptCount val="1"/>
                <c:pt idx="0">
                  <c:v>欧洲</c:v>
                </c:pt>
              </c:strCache>
            </c:strRef>
          </c:tx>
          <c:spPr>
            <a:solidFill>
              <a:schemeClr val="bg1">
                <a:lumMod val="50000"/>
              </a:schemeClr>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'地区-消费'!$B$3:$M$3</c:f>
              <c:numCache>
                <c:formatCode>#,##0_);[Red]\(#,##0\)</c:formatCode>
                <c:ptCount val="12"/>
                <c:pt idx="0">
                  <c:v>69.52</c:v>
                </c:pt>
                <c:pt idx="1">
                  <c:v>77.73</c:v>
                </c:pt>
                <c:pt idx="2">
                  <c:v>80.82</c:v>
                </c:pt>
                <c:pt idx="3">
                  <c:v>88.31</c:v>
                </c:pt>
                <c:pt idx="4">
                  <c:v>90.74</c:v>
                </c:pt>
                <c:pt idx="5">
                  <c:v>99.14</c:v>
                </c:pt>
                <c:pt idx="6">
                  <c:v>108.7</c:v>
                </c:pt>
                <c:pt idx="7">
                  <c:v>119.11</c:v>
                </c:pt>
                <c:pt idx="8">
                  <c:v>130.25</c:v>
                </c:pt>
                <c:pt idx="9">
                  <c:v>133.84</c:v>
                </c:pt>
                <c:pt idx="10">
                  <c:v>133.4</c:v>
                </c:pt>
                <c:pt idx="11">
                  <c:v>149.06</c:v>
                </c:pt>
              </c:numCache>
            </c:numRef>
          </c:val>
        </c:ser>
        <c:ser>
          <c:idx val="2"/>
          <c:order val="2"/>
          <c:tx>
            <c:strRef>
              <c:f>'地区-消费'!$A$4</c:f>
              <c:strCache>
                <c:ptCount val="1"/>
                <c:pt idx="0">
                  <c:v>亚太</c:v>
                </c:pt>
              </c:strCache>
            </c:strRef>
          </c:tx>
          <c:spPr>
            <a:solidFill>
              <a:srgbClr val="0070C0"/>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'地区-消费'!$B$4:$M$4</c:f>
              <c:numCache>
                <c:formatCode>#,##0_);[Red]\(#,##0\)</c:formatCode>
                <c:ptCount val="12"/>
                <c:pt idx="0">
                  <c:v>56.87</c:v>
                </c:pt>
                <c:pt idx="1">
                  <c:v>64.07</c:v>
                </c:pt>
                <c:pt idx="2">
                  <c:v>68.81</c:v>
                </c:pt>
                <c:pt idx="3">
                  <c:v>78.83</c:v>
                </c:pt>
                <c:pt idx="4">
                  <c:v>80.54</c:v>
                </c:pt>
                <c:pt idx="5">
                  <c:v>89.6</c:v>
                </c:pt>
                <c:pt idx="6">
                  <c:v>101.41</c:v>
                </c:pt>
                <c:pt idx="7">
                  <c:v>109.58</c:v>
                </c:pt>
                <c:pt idx="8">
                  <c:v>123.99</c:v>
                </c:pt>
                <c:pt idx="9">
                  <c:v>133.49</c:v>
                </c:pt>
                <c:pt idx="10">
                  <c:v>141.88</c:v>
                </c:pt>
                <c:pt idx="11">
                  <c:v>149.95</c:v>
                </c:pt>
              </c:numCache>
            </c:numRef>
          </c:val>
        </c:ser>
        <c:ser>
          <c:idx val="3"/>
          <c:order val="3"/>
          <c:tx>
            <c:strRef>
              <c:f>'地区-消费'!$A$5</c:f>
              <c:strCache>
                <c:ptCount val="1"/>
                <c:pt idx="0">
                  <c:v>拉美</c:v>
                </c:pt>
              </c:strCache>
            </c:strRef>
          </c:tx>
          <c:spPr>
            <a:solidFill>
              <a:srgbClr val="FFC000"/>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'地区-消费'!$B$5:$M$5</c:f>
              <c:numCache>
                <c:formatCode>#,##0_);[Red]\(#,##0\)</c:formatCode>
                <c:ptCount val="12"/>
                <c:pt idx="0">
                  <c:v>5.51</c:v>
                </c:pt>
                <c:pt idx="1">
                  <c:v>6.56</c:v>
                </c:pt>
                <c:pt idx="2">
                  <c:v>6.61</c:v>
                </c:pt>
                <c:pt idx="3">
                  <c:v>7.71</c:v>
                </c:pt>
                <c:pt idx="4">
                  <c:v>7.61</c:v>
                </c:pt>
                <c:pt idx="5">
                  <c:v>8.13</c:v>
                </c:pt>
                <c:pt idx="6">
                  <c:v>8.65</c:v>
                </c:pt>
                <c:pt idx="7">
                  <c:v>9.35</c:v>
                </c:pt>
                <c:pt idx="8">
                  <c:v>10.22</c:v>
                </c:pt>
                <c:pt idx="9">
                  <c:v>10.77</c:v>
                </c:pt>
                <c:pt idx="10">
                  <c:v>11.13</c:v>
                </c:pt>
                <c:pt idx="11">
                  <c:v>12.32</c:v>
                </c:pt>
              </c:numCache>
            </c:numRef>
          </c:val>
        </c:ser>
        <c:ser>
          <c:idx val="4"/>
          <c:order val="4"/>
          <c:tx>
            <c:strRef>
              <c:f>'地区-消费'!$A$6</c:f>
              <c:strCache>
                <c:ptCount val="1"/>
                <c:pt idx="0">
                  <c:v>中东和非洲</c:v>
                </c:pt>
              </c:strCache>
            </c:strRef>
          </c:tx>
          <c:spPr>
            <a:solidFill>
              <a:schemeClr val="tx1">
                <a:lumMod val="65000"/>
                <a:lumOff val="35000"/>
              </a:schemeClr>
            </a:solidFill>
            <a:ln>
              <a:noFill/>
            </a:ln>
            <a:effectLst/>
          </c:spPr>
          <c:invertIfNegative val="0"/>
          <c:dLbls>
            <c:delete val="1"/>
          </c:dLbls>
          <c:cat>
            <c:numRef>
              <c:f>'地区-消费'!$B$1:$M$1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'地区-消费'!$B$6:$M$6</c:f>
              <c:numCache>
                <c:formatCode>#,##0_);[Red]\(#,##0\)</c:formatCode>
                <c:ptCount val="12"/>
                <c:pt idx="0">
                  <c:v>12.42</c:v>
                </c:pt>
                <c:pt idx="1">
                  <c:v>14.77</c:v>
                </c:pt>
                <c:pt idx="2">
                  <c:v>15.44</c:v>
                </c:pt>
                <c:pt idx="3">
                  <c:v>15.84</c:v>
                </c:pt>
                <c:pt idx="4">
                  <c:v>16.69</c:v>
                </c:pt>
                <c:pt idx="5">
                  <c:v>17.04</c:v>
                </c:pt>
                <c:pt idx="6">
                  <c:v>19.26</c:v>
                </c:pt>
                <c:pt idx="7">
                  <c:v>21.79</c:v>
                </c:pt>
                <c:pt idx="8">
                  <c:v>22.95</c:v>
                </c:pt>
                <c:pt idx="9">
                  <c:v>23.48</c:v>
                </c:pt>
                <c:pt idx="10">
                  <c:v>24.75</c:v>
                </c:pt>
                <c:pt idx="11">
                  <c:v>27.05</c:v>
                </c:pt>
              </c:numCache>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d19fea2f-c8d2-4618-945b-30678a3ac117}"/>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94283A-0CAB-4477-92B6-9A37759F9F22}">
  <ds:schemaRefs/>
</ds:datastoreItem>
</file>

<file path=docProps/app.xml><?xml version="1.0" encoding="utf-8"?>
<Properties xmlns="http://schemas.openxmlformats.org/officeDocument/2006/extended-properties" xmlns:vt="http://schemas.openxmlformats.org/officeDocument/2006/docPropsVTypes">
  <Template>Normal</Template>
  <Pages>5</Pages>
  <Words>1631</Words>
  <Characters>1881</Characters>
  <Lines>13</Lines>
  <Paragraphs>3</Paragraphs>
  <TotalTime>714</TotalTime>
  <ScaleCrop>false</ScaleCrop>
  <LinksUpToDate>false</LinksUpToDate>
  <CharactersWithSpaces>1896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2025-08-27T07:17:34Z</dcterms:modified>
  <cp:revision>943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2052-12.1.0.22529</vt:lpwstr>
  </property>
  <property fmtid="{D5CDD505-2E9C-101B-9397-08002B2CF9AE}" pid="4" name="ICV">
    <vt:lpwstr>6B7D4A18B2E3478280C1D69FEAE29D9B_12</vt:lpwstr>
  </property>
</Properties>
</file>